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C9AE" w14:textId="77777777" w:rsidR="00806F7F" w:rsidRPr="006C42D5" w:rsidRDefault="00806F7F" w:rsidP="00806F7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776"/>
      </w:tblGrid>
      <w:tr w:rsidR="00806F7F" w:rsidRPr="00F113C8" w14:paraId="0FAD13DC" w14:textId="77777777" w:rsidTr="0045175D">
        <w:trPr>
          <w:trHeight w:val="444"/>
        </w:trPr>
        <w:tc>
          <w:tcPr>
            <w:tcW w:w="918" w:type="pct"/>
            <w:shd w:val="clear" w:color="auto" w:fill="D9D9D9"/>
            <w:vAlign w:val="center"/>
          </w:tcPr>
          <w:p w14:paraId="4F7CE89C" w14:textId="77777777" w:rsidR="00806F7F" w:rsidRPr="00F113C8" w:rsidRDefault="00806F7F" w:rsidP="0045175D">
            <w:r w:rsidRPr="00F113C8">
              <w:t>PROCESSO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5F47EB2" w14:textId="045A5C4A" w:rsidR="00806F7F" w:rsidRPr="00F113C8" w:rsidRDefault="006C42D5" w:rsidP="0045175D">
            <w:pPr>
              <w:rPr>
                <w:b/>
              </w:rPr>
            </w:pPr>
            <w:r w:rsidRPr="00F113C8">
              <w:rPr>
                <w:b/>
              </w:rPr>
              <w:t>00148.000198/2024-32</w:t>
            </w:r>
          </w:p>
        </w:tc>
      </w:tr>
      <w:tr w:rsidR="00806F7F" w:rsidRPr="00F113C8" w14:paraId="654AA8E7" w14:textId="77777777" w:rsidTr="0045175D">
        <w:trPr>
          <w:trHeight w:val="421"/>
        </w:trPr>
        <w:tc>
          <w:tcPr>
            <w:tcW w:w="918" w:type="pct"/>
            <w:shd w:val="clear" w:color="auto" w:fill="D9D9D9"/>
            <w:vAlign w:val="center"/>
          </w:tcPr>
          <w:p w14:paraId="7DDFA44D" w14:textId="77777777" w:rsidR="00806F7F" w:rsidRPr="00F113C8" w:rsidRDefault="00806F7F" w:rsidP="0045175D">
            <w:r w:rsidRPr="00F113C8">
              <w:t>INTERESSADO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7AF25D2" w14:textId="77777777" w:rsidR="00806F7F" w:rsidRPr="00F113C8" w:rsidRDefault="00806F7F" w:rsidP="0045175D">
            <w:r w:rsidRPr="00F113C8">
              <w:t>Conselho de Arquitetura e Urbanismo de Alagoas – CAU/AL</w:t>
            </w:r>
          </w:p>
        </w:tc>
      </w:tr>
      <w:tr w:rsidR="00806F7F" w:rsidRPr="00F113C8" w14:paraId="16F22C5B" w14:textId="77777777" w:rsidTr="0045175D">
        <w:trPr>
          <w:trHeight w:val="413"/>
        </w:trPr>
        <w:tc>
          <w:tcPr>
            <w:tcW w:w="918" w:type="pct"/>
            <w:shd w:val="clear" w:color="auto" w:fill="D9D9D9"/>
            <w:vAlign w:val="center"/>
          </w:tcPr>
          <w:p w14:paraId="7C3E87EC" w14:textId="77777777" w:rsidR="00806F7F" w:rsidRPr="00F113C8" w:rsidRDefault="00806F7F" w:rsidP="0045175D">
            <w:r w:rsidRPr="00F113C8">
              <w:t>ASSUNTO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5F1590E" w14:textId="46E03157" w:rsidR="00806F7F" w:rsidRPr="00F113C8" w:rsidRDefault="003248D7" w:rsidP="0045175D">
            <w:pPr>
              <w:ind w:right="-481"/>
            </w:pPr>
            <w:r w:rsidRPr="00F113C8">
              <w:t>Reprogramação do Plano de Ação e Orçamento 2024</w:t>
            </w:r>
          </w:p>
        </w:tc>
      </w:tr>
      <w:tr w:rsidR="00806F7F" w:rsidRPr="00F113C8" w14:paraId="7EC3C730" w14:textId="77777777" w:rsidTr="0045175D">
        <w:trPr>
          <w:trHeight w:val="41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39C505C" w14:textId="3EEFA0B9" w:rsidR="00806F7F" w:rsidRPr="00F113C8" w:rsidRDefault="00806F7F" w:rsidP="0045175D">
            <w:pPr>
              <w:jc w:val="center"/>
            </w:pPr>
            <w:r w:rsidRPr="00F113C8">
              <w:t>DELIBERAÇÃO N° 0</w:t>
            </w:r>
            <w:r w:rsidR="00EA2B75" w:rsidRPr="00F113C8">
              <w:t>1</w:t>
            </w:r>
            <w:r w:rsidR="006C42D5" w:rsidRPr="00F113C8">
              <w:t>8</w:t>
            </w:r>
            <w:r w:rsidRPr="00F113C8">
              <w:t>-2024 C</w:t>
            </w:r>
            <w:r w:rsidR="007D67E0" w:rsidRPr="00F113C8">
              <w:t>OPAF</w:t>
            </w:r>
            <w:r w:rsidRPr="00F113C8">
              <w:t>-CAU/AL</w:t>
            </w:r>
          </w:p>
        </w:tc>
      </w:tr>
    </w:tbl>
    <w:p w14:paraId="37BD809D" w14:textId="77777777" w:rsidR="00806F7F" w:rsidRPr="006C42D5" w:rsidRDefault="00806F7F" w:rsidP="00806F7F">
      <w:pPr>
        <w:rPr>
          <w:rFonts w:cstheme="minorHAnsi"/>
          <w:sz w:val="10"/>
          <w:szCs w:val="10"/>
        </w:rPr>
      </w:pPr>
    </w:p>
    <w:p w14:paraId="7BFBCA64" w14:textId="3FB6871D" w:rsidR="00806F7F" w:rsidRPr="006C42D5" w:rsidRDefault="00905B5C" w:rsidP="00806F7F">
      <w:pPr>
        <w:jc w:val="both"/>
        <w:rPr>
          <w:rFonts w:cstheme="minorHAnsi"/>
          <w:bCs/>
          <w:sz w:val="20"/>
          <w:szCs w:val="20"/>
        </w:rPr>
      </w:pPr>
      <w:r w:rsidRPr="006C42D5">
        <w:rPr>
          <w:rFonts w:cstheme="minorHAnsi"/>
          <w:bCs/>
          <w:sz w:val="20"/>
          <w:szCs w:val="20"/>
          <w:shd w:val="clear" w:color="auto" w:fill="FFFFFF"/>
        </w:rPr>
        <w:t>COMISSÃO DE ORGANIZAÇÃO, PLANEJAMENTO, ADMINISTRAÇÃO E FINANÇAS – COPAF-CAU/AL</w:t>
      </w:r>
      <w:r w:rsidR="00806F7F" w:rsidRPr="006C42D5">
        <w:rPr>
          <w:rFonts w:cstheme="minorHAnsi"/>
          <w:bCs/>
          <w:sz w:val="20"/>
          <w:szCs w:val="20"/>
        </w:rPr>
        <w:t xml:space="preserve"> reunida ordinariamente em Maceió, na sede do CAU/AL, no uso das competências que lhe conferem o </w:t>
      </w:r>
      <w:r w:rsidR="00806F7F" w:rsidRPr="006C42D5">
        <w:rPr>
          <w:rFonts w:eastAsia="Times New Roman" w:cstheme="minorHAnsi"/>
          <w:bCs/>
          <w:sz w:val="20"/>
          <w:szCs w:val="20"/>
          <w:lang w:eastAsia="pt-BR"/>
        </w:rPr>
        <w:t xml:space="preserve">Art. </w:t>
      </w:r>
      <w:r w:rsidR="006B7A96" w:rsidRPr="006C42D5">
        <w:rPr>
          <w:rFonts w:eastAsia="Times New Roman" w:cstheme="minorHAnsi"/>
          <w:bCs/>
          <w:sz w:val="20"/>
          <w:szCs w:val="20"/>
          <w:lang w:eastAsia="pt-BR"/>
        </w:rPr>
        <w:t>96</w:t>
      </w:r>
      <w:r w:rsidR="00806F7F" w:rsidRPr="006C42D5">
        <w:rPr>
          <w:rFonts w:eastAsia="Times New Roman" w:cstheme="minorHAnsi"/>
          <w:bCs/>
          <w:sz w:val="20"/>
          <w:szCs w:val="20"/>
          <w:lang w:eastAsia="pt-BR"/>
        </w:rPr>
        <w:t xml:space="preserve"> </w:t>
      </w:r>
      <w:r w:rsidR="00806F7F" w:rsidRPr="006C42D5">
        <w:rPr>
          <w:rFonts w:cstheme="minorHAnsi"/>
          <w:bCs/>
          <w:sz w:val="20"/>
          <w:szCs w:val="20"/>
        </w:rPr>
        <w:t>do regimento Interno do CAU/AL, após análise do assunto em epígrafe;</w:t>
      </w:r>
    </w:p>
    <w:p w14:paraId="54D4F9B6" w14:textId="77777777" w:rsidR="008A6E52" w:rsidRPr="006C42D5" w:rsidRDefault="008A6E52" w:rsidP="00806F7F">
      <w:pPr>
        <w:jc w:val="both"/>
        <w:rPr>
          <w:rFonts w:cstheme="minorHAnsi"/>
          <w:bCs/>
          <w:sz w:val="10"/>
          <w:szCs w:val="10"/>
        </w:rPr>
      </w:pPr>
    </w:p>
    <w:p w14:paraId="256370C1" w14:textId="5A9C8AC1" w:rsidR="005B7F4B" w:rsidRPr="006C42D5" w:rsidRDefault="005B7F4B" w:rsidP="005B7F4B">
      <w:pPr>
        <w:autoSpaceDE w:val="0"/>
        <w:jc w:val="both"/>
        <w:rPr>
          <w:rFonts w:cstheme="minorHAnsi"/>
          <w:sz w:val="20"/>
          <w:szCs w:val="20"/>
        </w:rPr>
      </w:pPr>
      <w:r w:rsidRPr="006C42D5">
        <w:rPr>
          <w:rFonts w:cstheme="minorHAnsi"/>
          <w:sz w:val="20"/>
          <w:szCs w:val="20"/>
        </w:rPr>
        <w:t xml:space="preserve">Considerando que compete à Comissão de Organização, Planejamento, Administração e Finanças – COPAF-CAU/AL, no âmbito de sua competência, zelar pelo planejamento e pelo equilíbrio econômico, financeiro e contábil do CAU/AL respeitado o disposto nos artigos 24, 33 e 34 da Lei n° 12.378, de 31 de dezembro de 2010, conforme previsão do artigo 96 do Regimento Interno do CAU/AL; </w:t>
      </w:r>
    </w:p>
    <w:p w14:paraId="00846D25" w14:textId="77777777" w:rsidR="005B7F4B" w:rsidRPr="006C42D5" w:rsidRDefault="005B7F4B" w:rsidP="005B7F4B">
      <w:pPr>
        <w:autoSpaceDE w:val="0"/>
        <w:jc w:val="both"/>
        <w:rPr>
          <w:rFonts w:cstheme="minorHAnsi"/>
          <w:sz w:val="10"/>
          <w:szCs w:val="10"/>
        </w:rPr>
      </w:pPr>
    </w:p>
    <w:p w14:paraId="649FD6A6" w14:textId="28146708" w:rsidR="00C13638" w:rsidRPr="006C42D5" w:rsidRDefault="005B7F4B" w:rsidP="003248D7">
      <w:pPr>
        <w:autoSpaceDE w:val="0"/>
        <w:jc w:val="both"/>
        <w:rPr>
          <w:rFonts w:cstheme="minorHAnsi"/>
          <w:sz w:val="20"/>
          <w:szCs w:val="20"/>
        </w:rPr>
      </w:pPr>
      <w:r w:rsidRPr="006C42D5">
        <w:rPr>
          <w:rFonts w:cstheme="minorHAnsi"/>
          <w:sz w:val="20"/>
          <w:szCs w:val="20"/>
        </w:rPr>
        <w:t xml:space="preserve">Considerando </w:t>
      </w:r>
      <w:r w:rsidR="003248D7" w:rsidRPr="006C42D5">
        <w:rPr>
          <w:rFonts w:cstheme="minorHAnsi"/>
          <w:sz w:val="20"/>
          <w:szCs w:val="20"/>
        </w:rPr>
        <w:t>Resolução n° 193, de 24 de setembro de 2020, que dispõe sobre anuidades, revisão, parcelamento e ressarcimento de valores devidos aos Conselhos de Arquitetura e Urbanismo dos Estados e do Distrito Federal (CAU/UF), protesto de dívidas, inscrição em dívida ativa e dá outras providências;</w:t>
      </w:r>
    </w:p>
    <w:p w14:paraId="0A713952" w14:textId="77777777" w:rsidR="003248D7" w:rsidRPr="006C42D5" w:rsidRDefault="003248D7" w:rsidP="003248D7">
      <w:pPr>
        <w:autoSpaceDE w:val="0"/>
        <w:jc w:val="both"/>
        <w:rPr>
          <w:rFonts w:cstheme="minorHAnsi"/>
          <w:bCs/>
          <w:sz w:val="10"/>
          <w:szCs w:val="10"/>
        </w:rPr>
      </w:pPr>
    </w:p>
    <w:p w14:paraId="7A3AC64B" w14:textId="6B398A89" w:rsidR="003248D7" w:rsidRPr="006C42D5" w:rsidRDefault="003248D7" w:rsidP="003248D7">
      <w:pPr>
        <w:autoSpaceDE w:val="0"/>
        <w:jc w:val="both"/>
        <w:rPr>
          <w:rFonts w:cstheme="minorHAnsi"/>
          <w:sz w:val="20"/>
          <w:szCs w:val="20"/>
        </w:rPr>
      </w:pPr>
      <w:r w:rsidRPr="006C42D5">
        <w:rPr>
          <w:rFonts w:cstheme="minorHAnsi"/>
          <w:sz w:val="20"/>
          <w:szCs w:val="20"/>
        </w:rPr>
        <w:t>Considerando calendário para a Reprogramação 2024, que determina o prazo para envio da proposta de reprogramação do Plano de Ação e Orçamento do CAU/UF;</w:t>
      </w:r>
    </w:p>
    <w:p w14:paraId="5CDCB68E" w14:textId="77777777" w:rsidR="003248D7" w:rsidRPr="006C42D5" w:rsidRDefault="003248D7" w:rsidP="003248D7">
      <w:pPr>
        <w:autoSpaceDE w:val="0"/>
        <w:jc w:val="both"/>
        <w:rPr>
          <w:rFonts w:cstheme="minorHAnsi"/>
          <w:bCs/>
          <w:sz w:val="10"/>
          <w:szCs w:val="10"/>
        </w:rPr>
      </w:pPr>
    </w:p>
    <w:p w14:paraId="6E1D2845" w14:textId="191B71ED" w:rsidR="006C42D5" w:rsidRPr="006C42D5" w:rsidRDefault="006C42D5" w:rsidP="006C42D5">
      <w:pPr>
        <w:jc w:val="both"/>
        <w:rPr>
          <w:rFonts w:cstheme="minorHAnsi"/>
          <w:sz w:val="20"/>
          <w:szCs w:val="20"/>
        </w:rPr>
      </w:pPr>
      <w:r w:rsidRPr="006C42D5">
        <w:rPr>
          <w:rFonts w:cstheme="minorHAnsi"/>
          <w:sz w:val="20"/>
          <w:szCs w:val="20"/>
        </w:rPr>
        <w:t>Considerando que todas as deliberações de comissão devem ser encaminhadas à Presidência do CAU/AL, para verificação e encaminhamentos, conforme Regimento Interno.</w:t>
      </w:r>
    </w:p>
    <w:p w14:paraId="64403F5D" w14:textId="77777777" w:rsidR="00C47EBB" w:rsidRPr="006C42D5" w:rsidRDefault="00C47EBB" w:rsidP="00806F7F">
      <w:pPr>
        <w:jc w:val="both"/>
        <w:rPr>
          <w:rFonts w:cstheme="minorHAnsi"/>
          <w:bCs/>
          <w:sz w:val="10"/>
          <w:szCs w:val="10"/>
        </w:rPr>
      </w:pPr>
    </w:p>
    <w:p w14:paraId="103965B4" w14:textId="77777777" w:rsidR="00806F7F" w:rsidRPr="006C42D5" w:rsidRDefault="00806F7F" w:rsidP="00806F7F">
      <w:pPr>
        <w:pStyle w:val="Corpodetexto2"/>
        <w:rPr>
          <w:rFonts w:ascii="Cambria" w:hAnsi="Cambria" w:cstheme="minorHAnsi"/>
          <w:b/>
        </w:rPr>
      </w:pPr>
      <w:r w:rsidRPr="006C42D5">
        <w:rPr>
          <w:rFonts w:ascii="Cambria" w:hAnsi="Cambria" w:cstheme="minorHAnsi"/>
          <w:b/>
        </w:rPr>
        <w:t>DELIBERA:</w:t>
      </w:r>
    </w:p>
    <w:p w14:paraId="04FF62E4" w14:textId="77777777" w:rsidR="00806F7F" w:rsidRPr="006C42D5" w:rsidRDefault="00806F7F" w:rsidP="00806F7F">
      <w:pPr>
        <w:pStyle w:val="Corpodetexto2"/>
        <w:rPr>
          <w:rFonts w:ascii="Cambria" w:hAnsi="Cambria" w:cstheme="minorHAnsi"/>
          <w:sz w:val="10"/>
          <w:szCs w:val="10"/>
        </w:rPr>
      </w:pPr>
    </w:p>
    <w:p w14:paraId="42840C13" w14:textId="5FBB7CAB" w:rsidR="006C42D5" w:rsidRPr="006C42D5" w:rsidRDefault="005B7F4B" w:rsidP="006C42D5">
      <w:pPr>
        <w:jc w:val="both"/>
        <w:rPr>
          <w:rFonts w:cstheme="minorHAnsi"/>
          <w:sz w:val="20"/>
          <w:szCs w:val="20"/>
        </w:rPr>
      </w:pPr>
      <w:r w:rsidRPr="006C42D5">
        <w:rPr>
          <w:rFonts w:cstheme="minorHAnsi"/>
          <w:sz w:val="20"/>
          <w:szCs w:val="20"/>
        </w:rPr>
        <w:t xml:space="preserve">1 – </w:t>
      </w:r>
      <w:r w:rsidR="006C42D5" w:rsidRPr="006C42D5">
        <w:rPr>
          <w:rFonts w:cstheme="minorHAnsi"/>
          <w:sz w:val="20"/>
          <w:szCs w:val="20"/>
        </w:rPr>
        <w:t>Pela APROVAÇÃO da reprogramação do Plano de Ação e Orçamento do CAU/AL, contendo 10 (dez) Atividades, 0</w:t>
      </w:r>
      <w:r w:rsidR="003D6AD5">
        <w:rPr>
          <w:rFonts w:cstheme="minorHAnsi"/>
          <w:sz w:val="20"/>
          <w:szCs w:val="20"/>
        </w:rPr>
        <w:t>9</w:t>
      </w:r>
      <w:r w:rsidR="006C42D5" w:rsidRPr="006C42D5">
        <w:rPr>
          <w:rFonts w:cstheme="minorHAnsi"/>
          <w:sz w:val="20"/>
          <w:szCs w:val="20"/>
        </w:rPr>
        <w:t xml:space="preserve"> (</w:t>
      </w:r>
      <w:r w:rsidR="003D6AD5">
        <w:rPr>
          <w:rFonts w:cstheme="minorHAnsi"/>
          <w:sz w:val="20"/>
          <w:szCs w:val="20"/>
        </w:rPr>
        <w:t>nove</w:t>
      </w:r>
      <w:r w:rsidR="006C42D5" w:rsidRPr="006C42D5">
        <w:rPr>
          <w:rFonts w:cstheme="minorHAnsi"/>
          <w:sz w:val="20"/>
          <w:szCs w:val="20"/>
        </w:rPr>
        <w:t>) Projetos, conforme proposta apresentada nos autos do Processo SEI nº. 00148.000198/2024-32.</w:t>
      </w:r>
    </w:p>
    <w:p w14:paraId="726672E8" w14:textId="77777777" w:rsidR="006C42D5" w:rsidRPr="006C42D5" w:rsidRDefault="006C42D5" w:rsidP="006C42D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1168"/>
        <w:gridCol w:w="1193"/>
        <w:gridCol w:w="776"/>
        <w:gridCol w:w="1168"/>
        <w:gridCol w:w="1193"/>
        <w:gridCol w:w="793"/>
      </w:tblGrid>
      <w:tr w:rsidR="006C42D5" w:rsidRPr="006C42D5" w14:paraId="151C6B70" w14:textId="77777777" w:rsidTr="006C42D5">
        <w:trPr>
          <w:trHeight w:val="312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3463"/>
            <w:vAlign w:val="center"/>
            <w:hideMark/>
          </w:tcPr>
          <w:p w14:paraId="32C59A2B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RESUMO DA PROGRAMAÇÃO 2024</w:t>
            </w: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br/>
              <w:t>POR CATEGORIA ECONÔMICA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23463"/>
            <w:vAlign w:val="center"/>
            <w:hideMark/>
          </w:tcPr>
          <w:p w14:paraId="61B826E8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FONTES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23463"/>
            <w:vAlign w:val="center"/>
            <w:hideMark/>
          </w:tcPr>
          <w:p w14:paraId="70B97077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APLICAÇÃO</w:t>
            </w:r>
          </w:p>
        </w:tc>
      </w:tr>
      <w:tr w:rsidR="006C42D5" w:rsidRPr="006C42D5" w14:paraId="25086134" w14:textId="77777777" w:rsidTr="006C42D5">
        <w:trPr>
          <w:trHeight w:val="624"/>
        </w:trPr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1DE" w14:textId="77777777" w:rsidR="006C42D5" w:rsidRPr="006C42D5" w:rsidRDefault="006C42D5" w:rsidP="006C42D5">
            <w:pPr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vAlign w:val="center"/>
            <w:hideMark/>
          </w:tcPr>
          <w:p w14:paraId="371BBBF8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Programação</w:t>
            </w: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br/>
              <w:t>(A)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vAlign w:val="center"/>
            <w:hideMark/>
          </w:tcPr>
          <w:p w14:paraId="3E06D88F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Reprogramação</w:t>
            </w: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br/>
              <w:t>(B)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vAlign w:val="center"/>
            <w:hideMark/>
          </w:tcPr>
          <w:p w14:paraId="27AEBA05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Variação</w:t>
            </w: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br/>
              <w:t>(%)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vAlign w:val="center"/>
            <w:hideMark/>
          </w:tcPr>
          <w:p w14:paraId="75232403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Programação</w:t>
            </w: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br/>
              <w:t>(A)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vAlign w:val="center"/>
            <w:hideMark/>
          </w:tcPr>
          <w:p w14:paraId="60296AE5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Reprogramação</w:t>
            </w: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br/>
              <w:t>(B)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vAlign w:val="center"/>
            <w:hideMark/>
          </w:tcPr>
          <w:p w14:paraId="2FF6AAEF" w14:textId="77777777" w:rsidR="006C42D5" w:rsidRPr="006C42D5" w:rsidRDefault="006C42D5" w:rsidP="006C42D5">
            <w:pPr>
              <w:jc w:val="center"/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t>Variação</w:t>
            </w:r>
            <w:r w:rsidRPr="006C42D5">
              <w:rPr>
                <w:rFonts w:ascii="Calibri" w:eastAsia="Times New Roman" w:hAnsi="Calibri" w:cs="Calibri"/>
                <w:b/>
                <w:bCs/>
                <w:color w:val="E1F2EC"/>
                <w:sz w:val="16"/>
                <w:szCs w:val="16"/>
                <w:lang w:eastAsia="pt-BR"/>
              </w:rPr>
              <w:br/>
              <w:t>(%)</w:t>
            </w:r>
          </w:p>
        </w:tc>
      </w:tr>
      <w:tr w:rsidR="006C42D5" w:rsidRPr="006C42D5" w14:paraId="219B3459" w14:textId="77777777" w:rsidTr="006C42D5">
        <w:trPr>
          <w:trHeight w:val="312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B37" w14:textId="77777777" w:rsidR="006C42D5" w:rsidRPr="006C42D5" w:rsidRDefault="006C42D5" w:rsidP="006C42D5">
            <w:pPr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Corrente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715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R$2.050.164,04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BE6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R$2.359.499,05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408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15,1%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9B4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R$2.050.164,04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D36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R$2.359.499,05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41E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15,1%</w:t>
            </w:r>
          </w:p>
        </w:tc>
      </w:tr>
      <w:tr w:rsidR="006C42D5" w:rsidRPr="006C42D5" w14:paraId="63FBE5EE" w14:textId="77777777" w:rsidTr="006C42D5">
        <w:trPr>
          <w:trHeight w:val="312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ED1" w14:textId="77777777" w:rsidR="006C42D5" w:rsidRPr="006C42D5" w:rsidRDefault="006C42D5" w:rsidP="006C42D5">
            <w:pPr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 xml:space="preserve">Capital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284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R$300.000,00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C95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R$300.000,00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6AC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0,0%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675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R$300.000,00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567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R$300.000,00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486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223463"/>
                <w:sz w:val="16"/>
                <w:szCs w:val="16"/>
                <w:lang w:eastAsia="pt-BR"/>
              </w:rPr>
              <w:t>0,0%</w:t>
            </w:r>
          </w:p>
        </w:tc>
      </w:tr>
      <w:tr w:rsidR="006C42D5" w:rsidRPr="006C42D5" w14:paraId="5264B408" w14:textId="77777777" w:rsidTr="006C42D5">
        <w:trPr>
          <w:trHeight w:val="312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3463"/>
            <w:noWrap/>
            <w:vAlign w:val="center"/>
            <w:hideMark/>
          </w:tcPr>
          <w:p w14:paraId="51B0BFB7" w14:textId="77777777" w:rsidR="006C42D5" w:rsidRPr="006C42D5" w:rsidRDefault="006C42D5" w:rsidP="006C42D5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noWrap/>
            <w:vAlign w:val="center"/>
            <w:hideMark/>
          </w:tcPr>
          <w:p w14:paraId="04B7AAAC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R$2.350.164,04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noWrap/>
            <w:vAlign w:val="center"/>
            <w:hideMark/>
          </w:tcPr>
          <w:p w14:paraId="151B3E23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R$2.659.499,05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noWrap/>
            <w:vAlign w:val="center"/>
            <w:hideMark/>
          </w:tcPr>
          <w:p w14:paraId="512B7A4A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13,2%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noWrap/>
            <w:vAlign w:val="center"/>
            <w:hideMark/>
          </w:tcPr>
          <w:p w14:paraId="0BFF3DDB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R$2.350.164,04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noWrap/>
            <w:vAlign w:val="center"/>
            <w:hideMark/>
          </w:tcPr>
          <w:p w14:paraId="59F4AD49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R$2.659.499,05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3463"/>
            <w:noWrap/>
            <w:vAlign w:val="center"/>
            <w:hideMark/>
          </w:tcPr>
          <w:p w14:paraId="1AA8A23D" w14:textId="77777777" w:rsidR="006C42D5" w:rsidRPr="006C42D5" w:rsidRDefault="006C42D5" w:rsidP="006C42D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C42D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13,2%</w:t>
            </w:r>
          </w:p>
        </w:tc>
      </w:tr>
    </w:tbl>
    <w:p w14:paraId="16654CCC" w14:textId="77777777" w:rsidR="006C42D5" w:rsidRPr="006C42D5" w:rsidRDefault="006C42D5" w:rsidP="006C42D5">
      <w:pPr>
        <w:jc w:val="both"/>
        <w:rPr>
          <w:rFonts w:eastAsia="Times New Roman" w:cstheme="minorHAnsi"/>
          <w:sz w:val="10"/>
          <w:szCs w:val="10"/>
        </w:rPr>
      </w:pPr>
      <w:r w:rsidRPr="006C42D5">
        <w:rPr>
          <w:rFonts w:asciiTheme="minorHAnsi" w:eastAsia="Times New Roman" w:hAnsiTheme="minorHAnsi" w:cstheme="minorHAnsi"/>
          <w:sz w:val="10"/>
          <w:szCs w:val="10"/>
        </w:rPr>
        <w:t> </w:t>
      </w:r>
    </w:p>
    <w:p w14:paraId="473FDF56" w14:textId="560F2508" w:rsidR="006C42D5" w:rsidRPr="006C42D5" w:rsidRDefault="006C42D5" w:rsidP="006C42D5">
      <w:pPr>
        <w:jc w:val="both"/>
        <w:rPr>
          <w:rFonts w:eastAsia="Times New Roman" w:cstheme="minorHAnsi"/>
          <w:sz w:val="20"/>
          <w:szCs w:val="20"/>
        </w:rPr>
      </w:pPr>
      <w:r w:rsidRPr="006C42D5">
        <w:rPr>
          <w:rFonts w:cstheme="minorHAnsi"/>
          <w:sz w:val="20"/>
          <w:szCs w:val="20"/>
        </w:rPr>
        <w:t>2 – Pelo e</w:t>
      </w:r>
      <w:r w:rsidRPr="006C42D5">
        <w:rPr>
          <w:rFonts w:eastAsia="Times New Roman" w:cstheme="minorHAnsi"/>
          <w:sz w:val="20"/>
          <w:szCs w:val="20"/>
        </w:rPr>
        <w:t>ncaminhamento, nos termos do artigo 6º, parágrafo segundo, da Resolução nº. 200/2020 do CAU/BR, da matéria para submissão à apreciação do Plenário do CAU/AL.</w:t>
      </w:r>
    </w:p>
    <w:p w14:paraId="7867CD0A" w14:textId="77777777" w:rsidR="006C42D5" w:rsidRPr="006C42D5" w:rsidRDefault="006C42D5" w:rsidP="006C42D5">
      <w:pPr>
        <w:jc w:val="both"/>
        <w:rPr>
          <w:rFonts w:eastAsia="Times New Roman" w:cstheme="minorHAnsi"/>
          <w:sz w:val="10"/>
          <w:szCs w:val="10"/>
        </w:rPr>
      </w:pPr>
      <w:r w:rsidRPr="006C42D5">
        <w:rPr>
          <w:rFonts w:eastAsia="Times New Roman" w:cstheme="minorHAnsi"/>
          <w:sz w:val="10"/>
          <w:szCs w:val="10"/>
        </w:rPr>
        <w:t> </w:t>
      </w:r>
    </w:p>
    <w:p w14:paraId="18CB0F80" w14:textId="72D4D8E7" w:rsidR="00806F7F" w:rsidRPr="006C42D5" w:rsidRDefault="00806F7F" w:rsidP="00806F7F">
      <w:pPr>
        <w:pStyle w:val="Corpodetexto2"/>
        <w:rPr>
          <w:rFonts w:ascii="Cambria" w:hAnsi="Cambria" w:cstheme="minorHAnsi"/>
        </w:rPr>
      </w:pPr>
      <w:r w:rsidRPr="006C42D5">
        <w:rPr>
          <w:rFonts w:ascii="Cambria" w:hAnsi="Cambria" w:cstheme="minorHAnsi"/>
        </w:rPr>
        <w:t xml:space="preserve">Com </w:t>
      </w:r>
      <w:r w:rsidRPr="006C42D5">
        <w:rPr>
          <w:rFonts w:ascii="Cambria" w:hAnsi="Cambria" w:cstheme="minorHAnsi"/>
          <w:b/>
        </w:rPr>
        <w:t>0</w:t>
      </w:r>
      <w:r w:rsidR="006C42D5" w:rsidRPr="006C42D5">
        <w:rPr>
          <w:rFonts w:ascii="Cambria" w:hAnsi="Cambria" w:cstheme="minorHAnsi"/>
          <w:b/>
        </w:rPr>
        <w:t>3</w:t>
      </w:r>
      <w:r w:rsidRPr="006C42D5">
        <w:rPr>
          <w:rFonts w:ascii="Cambria" w:hAnsi="Cambria" w:cstheme="minorHAnsi"/>
          <w:b/>
        </w:rPr>
        <w:t xml:space="preserve"> votos favoráveis</w:t>
      </w:r>
      <w:r w:rsidRPr="006C42D5">
        <w:rPr>
          <w:rFonts w:ascii="Cambria" w:hAnsi="Cambria" w:cstheme="minorHAnsi"/>
        </w:rPr>
        <w:t xml:space="preserve"> d</w:t>
      </w:r>
      <w:r w:rsidR="00743AC3" w:rsidRPr="006C42D5">
        <w:rPr>
          <w:rFonts w:ascii="Cambria" w:hAnsi="Cambria" w:cstheme="minorHAnsi"/>
        </w:rPr>
        <w:t>a</w:t>
      </w:r>
      <w:r w:rsidRPr="006C42D5">
        <w:rPr>
          <w:rFonts w:ascii="Cambria" w:hAnsi="Cambria" w:cstheme="minorHAnsi"/>
        </w:rPr>
        <w:t>s Conselheir</w:t>
      </w:r>
      <w:r w:rsidR="00743AC3" w:rsidRPr="006C42D5">
        <w:rPr>
          <w:rFonts w:ascii="Cambria" w:hAnsi="Cambria" w:cstheme="minorHAnsi"/>
        </w:rPr>
        <w:t>a</w:t>
      </w:r>
      <w:r w:rsidRPr="006C42D5">
        <w:rPr>
          <w:rFonts w:ascii="Cambria" w:hAnsi="Cambria" w:cstheme="minorHAnsi"/>
        </w:rPr>
        <w:t>s</w:t>
      </w:r>
      <w:r w:rsidR="00FB416B" w:rsidRPr="006C42D5">
        <w:rPr>
          <w:rFonts w:ascii="Cambria" w:hAnsi="Cambria" w:cstheme="minorHAnsi"/>
          <w:bCs/>
        </w:rPr>
        <w:t xml:space="preserve"> </w:t>
      </w:r>
      <w:proofErr w:type="spellStart"/>
      <w:r w:rsidR="00703843" w:rsidRPr="006C42D5">
        <w:rPr>
          <w:rFonts w:ascii="Cambria" w:hAnsi="Cambria" w:cstheme="minorHAnsi"/>
        </w:rPr>
        <w:t>Margiria</w:t>
      </w:r>
      <w:proofErr w:type="spellEnd"/>
      <w:r w:rsidR="00703843" w:rsidRPr="006C42D5">
        <w:rPr>
          <w:rFonts w:ascii="Cambria" w:hAnsi="Cambria" w:cstheme="minorHAnsi"/>
        </w:rPr>
        <w:t xml:space="preserve"> </w:t>
      </w:r>
      <w:proofErr w:type="spellStart"/>
      <w:r w:rsidR="00703843" w:rsidRPr="006C42D5">
        <w:rPr>
          <w:rFonts w:ascii="Cambria" w:hAnsi="Cambria" w:cstheme="minorHAnsi"/>
        </w:rPr>
        <w:t>Mercia</w:t>
      </w:r>
      <w:proofErr w:type="spellEnd"/>
      <w:r w:rsidR="00703843" w:rsidRPr="006C42D5">
        <w:rPr>
          <w:rFonts w:ascii="Cambria" w:hAnsi="Cambria" w:cstheme="minorHAnsi"/>
        </w:rPr>
        <w:t xml:space="preserve"> Carvalho Oliveira França</w:t>
      </w:r>
      <w:r w:rsidR="00703843" w:rsidRPr="006C42D5">
        <w:rPr>
          <w:rFonts w:ascii="Cambria" w:hAnsi="Cambria" w:cstheme="minorHAnsi"/>
          <w:bCs/>
        </w:rPr>
        <w:t xml:space="preserve"> e </w:t>
      </w:r>
      <w:r w:rsidR="00E13057" w:rsidRPr="006C42D5">
        <w:rPr>
          <w:rFonts w:ascii="Cambria" w:hAnsi="Cambria" w:cstheme="minorHAnsi"/>
          <w:bCs/>
        </w:rPr>
        <w:t>Lorena Coimbra Cerqueira Tenório</w:t>
      </w:r>
      <w:r w:rsidR="00F113C8">
        <w:rPr>
          <w:rFonts w:ascii="Cambria" w:hAnsi="Cambria" w:cstheme="minorHAnsi"/>
          <w:bCs/>
        </w:rPr>
        <w:t xml:space="preserve"> e </w:t>
      </w:r>
      <w:r w:rsidR="00F113C8" w:rsidRPr="006C42D5">
        <w:rPr>
          <w:rFonts w:ascii="Cambria" w:hAnsi="Cambria" w:cstheme="minorHAnsi"/>
          <w:bCs/>
        </w:rPr>
        <w:t xml:space="preserve">Sofia Campos </w:t>
      </w:r>
      <w:proofErr w:type="spellStart"/>
      <w:r w:rsidR="00F113C8" w:rsidRPr="006C42D5">
        <w:rPr>
          <w:rFonts w:ascii="Cambria" w:hAnsi="Cambria" w:cstheme="minorHAnsi"/>
          <w:bCs/>
        </w:rPr>
        <w:t>Christopoulos</w:t>
      </w:r>
      <w:proofErr w:type="spellEnd"/>
      <w:r w:rsidR="00E13057" w:rsidRPr="006C42D5">
        <w:rPr>
          <w:rFonts w:ascii="Cambria" w:hAnsi="Cambria" w:cstheme="minorHAnsi"/>
          <w:bCs/>
        </w:rPr>
        <w:t>,</w:t>
      </w:r>
      <w:r w:rsidRPr="006C42D5">
        <w:rPr>
          <w:rFonts w:ascii="Cambria" w:hAnsi="Cambria" w:cstheme="minorHAnsi"/>
          <w:bCs/>
        </w:rPr>
        <w:t xml:space="preserve"> </w:t>
      </w:r>
      <w:r w:rsidRPr="006C42D5">
        <w:rPr>
          <w:rFonts w:ascii="Cambria" w:hAnsi="Cambria" w:cstheme="minorHAnsi"/>
          <w:b/>
          <w:bCs/>
        </w:rPr>
        <w:t xml:space="preserve">00 votos contrários, 00 abstenções </w:t>
      </w:r>
      <w:r w:rsidRPr="006C42D5">
        <w:rPr>
          <w:rFonts w:ascii="Cambria" w:hAnsi="Cambria" w:cstheme="minorHAnsi"/>
          <w:bCs/>
        </w:rPr>
        <w:t xml:space="preserve">e </w:t>
      </w:r>
      <w:r w:rsidRPr="006C42D5">
        <w:rPr>
          <w:rFonts w:ascii="Cambria" w:hAnsi="Cambria" w:cstheme="minorHAnsi"/>
          <w:b/>
          <w:bCs/>
        </w:rPr>
        <w:t>0</w:t>
      </w:r>
      <w:r w:rsidR="00F113C8">
        <w:rPr>
          <w:rFonts w:ascii="Cambria" w:hAnsi="Cambria" w:cstheme="minorHAnsi"/>
          <w:b/>
          <w:bCs/>
        </w:rPr>
        <w:t>0</w:t>
      </w:r>
      <w:r w:rsidRPr="006C42D5">
        <w:rPr>
          <w:rFonts w:ascii="Cambria" w:hAnsi="Cambria" w:cstheme="minorHAnsi"/>
          <w:b/>
          <w:bCs/>
        </w:rPr>
        <w:t xml:space="preserve"> ausência</w:t>
      </w:r>
      <w:r w:rsidRPr="006C42D5">
        <w:rPr>
          <w:rFonts w:ascii="Cambria" w:hAnsi="Cambria" w:cstheme="minorHAnsi"/>
        </w:rPr>
        <w:t>.</w:t>
      </w:r>
    </w:p>
    <w:p w14:paraId="411E4F95" w14:textId="6A921AC3" w:rsidR="00806F7F" w:rsidRPr="006C42D5" w:rsidRDefault="00806F7F" w:rsidP="006C42D5">
      <w:pPr>
        <w:pStyle w:val="Corpodetexto2"/>
        <w:tabs>
          <w:tab w:val="left" w:pos="3263"/>
        </w:tabs>
        <w:rPr>
          <w:rFonts w:ascii="Cambria" w:hAnsi="Cambria" w:cstheme="minorHAnsi"/>
          <w:sz w:val="10"/>
          <w:szCs w:val="10"/>
        </w:rPr>
      </w:pPr>
    </w:p>
    <w:p w14:paraId="42DFD5CE" w14:textId="4E0C0A0F" w:rsidR="00806F7F" w:rsidRPr="006C42D5" w:rsidRDefault="00806F7F" w:rsidP="00806F7F">
      <w:pPr>
        <w:jc w:val="center"/>
        <w:rPr>
          <w:rFonts w:cstheme="minorHAnsi"/>
          <w:sz w:val="20"/>
          <w:szCs w:val="20"/>
        </w:rPr>
      </w:pPr>
      <w:r w:rsidRPr="006C42D5">
        <w:rPr>
          <w:rFonts w:cstheme="minorHAnsi"/>
          <w:sz w:val="20"/>
          <w:szCs w:val="20"/>
        </w:rPr>
        <w:t xml:space="preserve">Maceió, </w:t>
      </w:r>
      <w:r w:rsidR="00F113C8">
        <w:rPr>
          <w:rFonts w:cstheme="minorHAnsi"/>
          <w:sz w:val="20"/>
          <w:szCs w:val="20"/>
        </w:rPr>
        <w:t>24</w:t>
      </w:r>
      <w:r w:rsidRPr="006C42D5">
        <w:rPr>
          <w:rFonts w:cstheme="minorHAnsi"/>
          <w:sz w:val="20"/>
          <w:szCs w:val="20"/>
        </w:rPr>
        <w:t xml:space="preserve"> de </w:t>
      </w:r>
      <w:r w:rsidR="00703843" w:rsidRPr="006C42D5">
        <w:rPr>
          <w:rFonts w:cstheme="minorHAnsi"/>
          <w:sz w:val="20"/>
          <w:szCs w:val="20"/>
        </w:rPr>
        <w:t>ju</w:t>
      </w:r>
      <w:r w:rsidR="00F113C8">
        <w:rPr>
          <w:rFonts w:cstheme="minorHAnsi"/>
          <w:sz w:val="20"/>
          <w:szCs w:val="20"/>
        </w:rPr>
        <w:t>l</w:t>
      </w:r>
      <w:r w:rsidR="00703843" w:rsidRPr="006C42D5">
        <w:rPr>
          <w:rFonts w:cstheme="minorHAnsi"/>
          <w:sz w:val="20"/>
          <w:szCs w:val="20"/>
        </w:rPr>
        <w:t>ho</w:t>
      </w:r>
      <w:r w:rsidR="00A859E9" w:rsidRPr="006C42D5">
        <w:rPr>
          <w:rFonts w:cstheme="minorHAnsi"/>
          <w:sz w:val="20"/>
          <w:szCs w:val="20"/>
        </w:rPr>
        <w:t xml:space="preserve"> </w:t>
      </w:r>
      <w:r w:rsidRPr="006C42D5">
        <w:rPr>
          <w:rFonts w:cstheme="minorHAnsi"/>
          <w:sz w:val="20"/>
          <w:szCs w:val="20"/>
        </w:rPr>
        <w:t>de 2024.</w:t>
      </w:r>
    </w:p>
    <w:p w14:paraId="201A0F0A" w14:textId="77777777" w:rsidR="00806F7F" w:rsidRPr="006C42D5" w:rsidRDefault="00806F7F" w:rsidP="00806F7F">
      <w:pPr>
        <w:jc w:val="center"/>
        <w:rPr>
          <w:rFonts w:cstheme="minorHAnsi"/>
          <w:sz w:val="20"/>
          <w:szCs w:val="20"/>
        </w:rPr>
      </w:pPr>
    </w:p>
    <w:p w14:paraId="688B3C34" w14:textId="77777777" w:rsidR="003C1A70" w:rsidRPr="006C42D5" w:rsidRDefault="003C1A70" w:rsidP="00806F7F">
      <w:pPr>
        <w:jc w:val="center"/>
        <w:rPr>
          <w:rFonts w:cstheme="minorHAnsi"/>
          <w:bCs/>
          <w:sz w:val="20"/>
          <w:szCs w:val="20"/>
        </w:rPr>
      </w:pPr>
    </w:p>
    <w:p w14:paraId="662CFDB2" w14:textId="6DF5BE07" w:rsidR="00E13057" w:rsidRPr="006C42D5" w:rsidRDefault="00703843" w:rsidP="00703843">
      <w:pPr>
        <w:jc w:val="center"/>
        <w:rPr>
          <w:rFonts w:cstheme="minorHAnsi"/>
          <w:b/>
          <w:bCs/>
          <w:sz w:val="20"/>
          <w:szCs w:val="20"/>
        </w:rPr>
      </w:pPr>
      <w:r w:rsidRPr="006C42D5">
        <w:rPr>
          <w:rFonts w:cstheme="minorHAnsi"/>
          <w:b/>
          <w:bCs/>
          <w:sz w:val="20"/>
          <w:szCs w:val="20"/>
        </w:rPr>
        <w:t>MARGIRIA MERCIA CARVALHO OLIVEIRA FRANÇA</w:t>
      </w:r>
    </w:p>
    <w:p w14:paraId="4D5306CE" w14:textId="5F11D18D" w:rsidR="001F23C1" w:rsidRPr="006C42D5" w:rsidRDefault="00E13057" w:rsidP="001F23C1">
      <w:pPr>
        <w:jc w:val="center"/>
        <w:rPr>
          <w:rFonts w:cstheme="minorHAnsi"/>
          <w:bCs/>
          <w:sz w:val="20"/>
          <w:szCs w:val="20"/>
        </w:rPr>
      </w:pPr>
      <w:r w:rsidRPr="006C42D5">
        <w:rPr>
          <w:rFonts w:cstheme="minorHAnsi"/>
          <w:bCs/>
          <w:sz w:val="20"/>
          <w:szCs w:val="20"/>
        </w:rPr>
        <w:t>Coordena</w:t>
      </w:r>
      <w:r w:rsidR="00703843" w:rsidRPr="006C42D5">
        <w:rPr>
          <w:rFonts w:cstheme="minorHAnsi"/>
          <w:bCs/>
          <w:sz w:val="20"/>
          <w:szCs w:val="20"/>
        </w:rPr>
        <w:t>dora</w:t>
      </w:r>
    </w:p>
    <w:p w14:paraId="73410927" w14:textId="77777777" w:rsidR="001F23C1" w:rsidRPr="006C42D5" w:rsidRDefault="001F23C1" w:rsidP="001F23C1">
      <w:pPr>
        <w:jc w:val="center"/>
        <w:rPr>
          <w:rFonts w:cstheme="minorHAnsi"/>
          <w:bCs/>
          <w:sz w:val="20"/>
          <w:szCs w:val="20"/>
        </w:rPr>
      </w:pPr>
    </w:p>
    <w:p w14:paraId="49A0F6F9" w14:textId="77777777" w:rsidR="00703843" w:rsidRPr="006C42D5" w:rsidRDefault="00703843" w:rsidP="00703843">
      <w:pPr>
        <w:jc w:val="center"/>
        <w:rPr>
          <w:rFonts w:cstheme="minorHAnsi"/>
          <w:bCs/>
          <w:sz w:val="20"/>
          <w:szCs w:val="20"/>
        </w:rPr>
      </w:pPr>
    </w:p>
    <w:p w14:paraId="2B179E31" w14:textId="77777777" w:rsidR="00703843" w:rsidRPr="006C42D5" w:rsidRDefault="00703843" w:rsidP="00703843">
      <w:pPr>
        <w:jc w:val="center"/>
        <w:rPr>
          <w:rFonts w:cstheme="minorHAnsi"/>
          <w:bCs/>
          <w:sz w:val="20"/>
          <w:szCs w:val="20"/>
        </w:rPr>
      </w:pPr>
      <w:r w:rsidRPr="006C42D5">
        <w:rPr>
          <w:rFonts w:cstheme="minorHAnsi"/>
          <w:b/>
          <w:sz w:val="20"/>
          <w:szCs w:val="20"/>
        </w:rPr>
        <w:t>LORENA COIMBRA CERQUEIRA TENÓRIO</w:t>
      </w:r>
      <w:r w:rsidRPr="006C42D5">
        <w:rPr>
          <w:rFonts w:cstheme="minorHAnsi"/>
          <w:bCs/>
          <w:sz w:val="20"/>
          <w:szCs w:val="20"/>
        </w:rPr>
        <w:t xml:space="preserve"> </w:t>
      </w:r>
    </w:p>
    <w:p w14:paraId="0C3D52D3" w14:textId="126E7A9F" w:rsidR="005B7F4B" w:rsidRPr="006C42D5" w:rsidRDefault="001F23C1" w:rsidP="007E2B72">
      <w:pPr>
        <w:jc w:val="center"/>
        <w:rPr>
          <w:rFonts w:cstheme="minorHAnsi"/>
          <w:bCs/>
          <w:sz w:val="20"/>
          <w:szCs w:val="20"/>
        </w:rPr>
      </w:pPr>
      <w:r w:rsidRPr="006C42D5">
        <w:rPr>
          <w:rFonts w:cstheme="minorHAnsi"/>
          <w:bCs/>
          <w:sz w:val="20"/>
          <w:szCs w:val="20"/>
        </w:rPr>
        <w:t>Conse</w:t>
      </w:r>
      <w:r w:rsidR="00A859E9" w:rsidRPr="006C42D5">
        <w:rPr>
          <w:rFonts w:cstheme="minorHAnsi"/>
          <w:bCs/>
          <w:sz w:val="20"/>
          <w:szCs w:val="20"/>
        </w:rPr>
        <w:t>l</w:t>
      </w:r>
      <w:r w:rsidRPr="006C42D5">
        <w:rPr>
          <w:rFonts w:cstheme="minorHAnsi"/>
          <w:bCs/>
          <w:sz w:val="20"/>
          <w:szCs w:val="20"/>
        </w:rPr>
        <w:t>heira</w:t>
      </w:r>
    </w:p>
    <w:p w14:paraId="25F16D53" w14:textId="77777777" w:rsidR="006C42D5" w:rsidRPr="006C42D5" w:rsidRDefault="006C42D5" w:rsidP="007E2B72">
      <w:pPr>
        <w:jc w:val="center"/>
        <w:rPr>
          <w:rFonts w:cstheme="minorHAnsi"/>
          <w:bCs/>
          <w:sz w:val="20"/>
          <w:szCs w:val="20"/>
        </w:rPr>
      </w:pPr>
    </w:p>
    <w:p w14:paraId="53F36EBA" w14:textId="77777777" w:rsidR="006C42D5" w:rsidRPr="006C42D5" w:rsidRDefault="006C42D5" w:rsidP="007E2B72">
      <w:pPr>
        <w:jc w:val="center"/>
        <w:rPr>
          <w:rFonts w:cstheme="minorHAnsi"/>
          <w:bCs/>
          <w:sz w:val="20"/>
          <w:szCs w:val="20"/>
        </w:rPr>
      </w:pPr>
    </w:p>
    <w:p w14:paraId="5C9EBE71" w14:textId="393B6B3D" w:rsidR="006C42D5" w:rsidRPr="006C42D5" w:rsidRDefault="000C7F29" w:rsidP="006C42D5">
      <w:pPr>
        <w:jc w:val="center"/>
        <w:rPr>
          <w:b/>
          <w:bCs/>
          <w:sz w:val="20"/>
          <w:szCs w:val="20"/>
        </w:rPr>
      </w:pPr>
      <w:r w:rsidRPr="002A7DA1">
        <w:rPr>
          <w:b/>
          <w:bCs/>
          <w:sz w:val="20"/>
          <w:szCs w:val="20"/>
        </w:rPr>
        <w:t>SOFIA CAMPOS CHRISTOPOULOS</w:t>
      </w:r>
    </w:p>
    <w:p w14:paraId="0A82F286" w14:textId="431E1174" w:rsidR="006C42D5" w:rsidRDefault="006C42D5" w:rsidP="007E2B72">
      <w:pPr>
        <w:jc w:val="center"/>
        <w:rPr>
          <w:rFonts w:ascii="Times New Roman" w:hAnsi="Times New Roman"/>
          <w:bCs/>
          <w:sz w:val="20"/>
          <w:szCs w:val="20"/>
        </w:rPr>
      </w:pPr>
      <w:r w:rsidRPr="006C42D5">
        <w:rPr>
          <w:bCs/>
          <w:sz w:val="20"/>
          <w:szCs w:val="20"/>
        </w:rPr>
        <w:t>Conselheira</w:t>
      </w:r>
    </w:p>
    <w:sectPr w:rsidR="006C42D5" w:rsidSect="001F23C1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8CE6" w14:textId="77777777" w:rsidR="000669F2" w:rsidRDefault="000669F2" w:rsidP="001527A9">
      <w:r>
        <w:separator/>
      </w:r>
    </w:p>
  </w:endnote>
  <w:endnote w:type="continuationSeparator" w:id="0">
    <w:p w14:paraId="285D3DCA" w14:textId="77777777" w:rsidR="000669F2" w:rsidRDefault="000669F2" w:rsidP="001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">
    <w:altName w:val="Calibri"/>
    <w:panose1 w:val="00000400000000000000"/>
    <w:charset w:val="00"/>
    <w:family w:val="auto"/>
    <w:pitch w:val="variable"/>
    <w:sig w:usb0="A00000AF" w:usb1="40002048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DAE9" w14:textId="77777777" w:rsidR="00CF16A7" w:rsidRPr="00CF16A7" w:rsidRDefault="00A7061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bookmarkStart w:id="0" w:name="_Hlk158914511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1C5D51" wp14:editId="2DBBEB54">
              <wp:simplePos x="0" y="0"/>
              <wp:positionH relativeFrom="page">
                <wp:posOffset>7035662</wp:posOffset>
              </wp:positionH>
              <wp:positionV relativeFrom="margin">
                <wp:posOffset>7841311</wp:posOffset>
              </wp:positionV>
              <wp:extent cx="433705" cy="876300"/>
              <wp:effectExtent l="0" t="0" r="0" b="0"/>
              <wp:wrapNone/>
              <wp:docPr id="1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70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761F9" w14:textId="77777777" w:rsidR="00A70617" w:rsidRDefault="00A70617" w:rsidP="00A70617"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CA67070" w14:textId="77777777" w:rsidR="00A70617" w:rsidRPr="00B509A5" w:rsidRDefault="00A70617" w:rsidP="00A70617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C5D51" id="Rectangle 22" o:spid="_x0000_s1026" style="position:absolute;left:0;text-align:left;margin-left:554pt;margin-top:617.45pt;width:34.1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9E761F9" w14:textId="77777777" w:rsidR="00A70617" w:rsidRDefault="00A70617" w:rsidP="00A70617"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4CA67070" w14:textId="77777777" w:rsidR="00A70617" w:rsidRPr="00B509A5" w:rsidRDefault="00A70617" w:rsidP="00A70617">
                    <w:pPr>
                      <w:pStyle w:val="Rodap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F16A7" w:rsidRPr="002372B0">
      <w:rPr>
        <w:noProof/>
      </w:rPr>
      <w:drawing>
        <wp:anchor distT="0" distB="0" distL="114300" distR="114300" simplePos="0" relativeHeight="251660288" behindDoc="0" locked="0" layoutInCell="1" allowOverlap="1" wp14:anchorId="2F731FD7" wp14:editId="597B03B2">
          <wp:simplePos x="0" y="0"/>
          <wp:positionH relativeFrom="page">
            <wp:posOffset>405245</wp:posOffset>
          </wp:positionH>
          <wp:positionV relativeFrom="paragraph">
            <wp:posOffset>-3522</wp:posOffset>
          </wp:positionV>
          <wp:extent cx="1967260" cy="249381"/>
          <wp:effectExtent l="0" t="0" r="0" b="0"/>
          <wp:wrapNone/>
          <wp:docPr id="210557274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78"/>
                  <a:stretch/>
                </pic:blipFill>
                <pic:spPr bwMode="auto">
                  <a:xfrm>
                    <a:off x="0" y="0"/>
                    <a:ext cx="1974555" cy="250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>
      <w:rPr>
        <w:noProof/>
      </w:rPr>
      <w:drawing>
        <wp:anchor distT="0" distB="0" distL="114300" distR="114300" simplePos="0" relativeHeight="251659264" behindDoc="0" locked="0" layoutInCell="1" allowOverlap="1" wp14:anchorId="1EC5DED3" wp14:editId="5EADAA6C">
          <wp:simplePos x="0" y="0"/>
          <wp:positionH relativeFrom="page">
            <wp:posOffset>20782</wp:posOffset>
          </wp:positionH>
          <wp:positionV relativeFrom="paragraph">
            <wp:posOffset>-122035</wp:posOffset>
          </wp:positionV>
          <wp:extent cx="7566025" cy="24130"/>
          <wp:effectExtent l="0" t="0" r="0" b="0"/>
          <wp:wrapNone/>
          <wp:docPr id="116087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Av. Comendador Gustavo Paiva, nº 2789 - Mangabeiras, Maceió - AL.</w:t>
    </w:r>
  </w:p>
  <w:p w14:paraId="09AF08B2" w14:textId="77777777" w:rsidR="00CF16A7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CEP: 57.037-532 – Ed. Norcon Empresarial, Loja 08.</w:t>
    </w:r>
  </w:p>
  <w:p w14:paraId="1AED4572" w14:textId="77777777" w:rsidR="001527A9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CNPJ: 15.148.889/0001-26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4A13" w14:textId="77777777" w:rsidR="000669F2" w:rsidRDefault="000669F2" w:rsidP="001527A9">
      <w:r>
        <w:separator/>
      </w:r>
    </w:p>
  </w:footnote>
  <w:footnote w:type="continuationSeparator" w:id="0">
    <w:p w14:paraId="6C7512D5" w14:textId="77777777" w:rsidR="000669F2" w:rsidRDefault="000669F2" w:rsidP="0015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3A34" w14:textId="77777777" w:rsidR="001527A9" w:rsidRDefault="0041589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99DDEA" wp14:editId="4C4E80AB">
          <wp:simplePos x="0" y="0"/>
          <wp:positionH relativeFrom="page">
            <wp:align>left</wp:align>
          </wp:positionH>
          <wp:positionV relativeFrom="paragraph">
            <wp:posOffset>-205998</wp:posOffset>
          </wp:positionV>
          <wp:extent cx="8639817" cy="648077"/>
          <wp:effectExtent l="0" t="0" r="0" b="0"/>
          <wp:wrapNone/>
          <wp:docPr id="127553674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817" cy="648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7CCD"/>
    <w:multiLevelType w:val="multilevel"/>
    <w:tmpl w:val="502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36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A9"/>
    <w:rsid w:val="00043E9B"/>
    <w:rsid w:val="0005354A"/>
    <w:rsid w:val="000669F2"/>
    <w:rsid w:val="00094632"/>
    <w:rsid w:val="000A3B0E"/>
    <w:rsid w:val="000C7F29"/>
    <w:rsid w:val="00114DB5"/>
    <w:rsid w:val="0013221E"/>
    <w:rsid w:val="001367E3"/>
    <w:rsid w:val="001527A9"/>
    <w:rsid w:val="001C1A42"/>
    <w:rsid w:val="001F1397"/>
    <w:rsid w:val="001F23C1"/>
    <w:rsid w:val="00234CA9"/>
    <w:rsid w:val="002372B0"/>
    <w:rsid w:val="00245735"/>
    <w:rsid w:val="002E4D2C"/>
    <w:rsid w:val="002E7B14"/>
    <w:rsid w:val="002F03F1"/>
    <w:rsid w:val="003160E2"/>
    <w:rsid w:val="003248D7"/>
    <w:rsid w:val="00364616"/>
    <w:rsid w:val="00366924"/>
    <w:rsid w:val="00373550"/>
    <w:rsid w:val="003C1A70"/>
    <w:rsid w:val="003D5951"/>
    <w:rsid w:val="003D6AD5"/>
    <w:rsid w:val="003F795C"/>
    <w:rsid w:val="00403AC3"/>
    <w:rsid w:val="00407A19"/>
    <w:rsid w:val="00412499"/>
    <w:rsid w:val="0041589D"/>
    <w:rsid w:val="004267D3"/>
    <w:rsid w:val="004A240F"/>
    <w:rsid w:val="004C1C00"/>
    <w:rsid w:val="00503192"/>
    <w:rsid w:val="005035DD"/>
    <w:rsid w:val="00554F2B"/>
    <w:rsid w:val="005A3EB4"/>
    <w:rsid w:val="005A74CE"/>
    <w:rsid w:val="005B7F4B"/>
    <w:rsid w:val="005D0FCD"/>
    <w:rsid w:val="005E0CD0"/>
    <w:rsid w:val="00627C9E"/>
    <w:rsid w:val="00636A34"/>
    <w:rsid w:val="00656CF3"/>
    <w:rsid w:val="00686B3B"/>
    <w:rsid w:val="00687564"/>
    <w:rsid w:val="006B4B91"/>
    <w:rsid w:val="006B7A96"/>
    <w:rsid w:val="006C42D5"/>
    <w:rsid w:val="00703843"/>
    <w:rsid w:val="00730E07"/>
    <w:rsid w:val="0073712E"/>
    <w:rsid w:val="00743AC3"/>
    <w:rsid w:val="00776E0C"/>
    <w:rsid w:val="00781297"/>
    <w:rsid w:val="007C4A48"/>
    <w:rsid w:val="007D67E0"/>
    <w:rsid w:val="007E2B72"/>
    <w:rsid w:val="00806F7F"/>
    <w:rsid w:val="008464AF"/>
    <w:rsid w:val="008A6E52"/>
    <w:rsid w:val="008E1760"/>
    <w:rsid w:val="008E4C0F"/>
    <w:rsid w:val="008E75D2"/>
    <w:rsid w:val="00905B5C"/>
    <w:rsid w:val="0093190B"/>
    <w:rsid w:val="009A1083"/>
    <w:rsid w:val="009A64E5"/>
    <w:rsid w:val="009D0814"/>
    <w:rsid w:val="009E6C11"/>
    <w:rsid w:val="00A51A54"/>
    <w:rsid w:val="00A625EA"/>
    <w:rsid w:val="00A70617"/>
    <w:rsid w:val="00A73D6D"/>
    <w:rsid w:val="00A859E9"/>
    <w:rsid w:val="00A95FDC"/>
    <w:rsid w:val="00AD58FB"/>
    <w:rsid w:val="00AE080C"/>
    <w:rsid w:val="00B0770C"/>
    <w:rsid w:val="00B13E61"/>
    <w:rsid w:val="00B20598"/>
    <w:rsid w:val="00B21D8C"/>
    <w:rsid w:val="00B32916"/>
    <w:rsid w:val="00B654DE"/>
    <w:rsid w:val="00BB79BB"/>
    <w:rsid w:val="00BE4900"/>
    <w:rsid w:val="00C13638"/>
    <w:rsid w:val="00C20E02"/>
    <w:rsid w:val="00C346AF"/>
    <w:rsid w:val="00C47EBB"/>
    <w:rsid w:val="00CF16A7"/>
    <w:rsid w:val="00D13BCE"/>
    <w:rsid w:val="00D375E8"/>
    <w:rsid w:val="00D53285"/>
    <w:rsid w:val="00D541B9"/>
    <w:rsid w:val="00D86B4C"/>
    <w:rsid w:val="00D93FE9"/>
    <w:rsid w:val="00DA69B6"/>
    <w:rsid w:val="00E00836"/>
    <w:rsid w:val="00E06E8F"/>
    <w:rsid w:val="00E13057"/>
    <w:rsid w:val="00E172D5"/>
    <w:rsid w:val="00E2485E"/>
    <w:rsid w:val="00E410B7"/>
    <w:rsid w:val="00E62D34"/>
    <w:rsid w:val="00EA2B75"/>
    <w:rsid w:val="00EB5F1C"/>
    <w:rsid w:val="00EB79DF"/>
    <w:rsid w:val="00ED1911"/>
    <w:rsid w:val="00F0226E"/>
    <w:rsid w:val="00F113C8"/>
    <w:rsid w:val="00F12F26"/>
    <w:rsid w:val="00FB416B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447A"/>
  <w15:chartTrackingRefBased/>
  <w15:docId w15:val="{F71A8D75-5498-4583-8C91-4E41FBA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7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527A9"/>
  </w:style>
  <w:style w:type="paragraph" w:styleId="Rodap">
    <w:name w:val="footer"/>
    <w:basedOn w:val="Normal"/>
    <w:link w:val="Rodap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527A9"/>
  </w:style>
  <w:style w:type="character" w:customStyle="1" w:styleId="ui-provider">
    <w:name w:val="ui-provider"/>
    <w:basedOn w:val="Fontepargpadro"/>
    <w:rsid w:val="008E75D2"/>
  </w:style>
  <w:style w:type="paragraph" w:styleId="PargrafodaLista">
    <w:name w:val="List Paragraph"/>
    <w:basedOn w:val="Normal"/>
    <w:uiPriority w:val="34"/>
    <w:qFormat/>
    <w:rsid w:val="008E7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67D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4267D3"/>
    <w:rPr>
      <w:b/>
      <w:bCs/>
    </w:rPr>
  </w:style>
  <w:style w:type="paragraph" w:styleId="Corpodetexto2">
    <w:name w:val="Body Text 2"/>
    <w:basedOn w:val="Normal"/>
    <w:link w:val="Corpodetexto2Char"/>
    <w:semiHidden/>
    <w:rsid w:val="00806F7F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6F7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806F7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6B4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4694-1363-4155-B6DD-CDF3B5F2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 AL</dc:creator>
  <cp:keywords/>
  <dc:description/>
  <cp:lastModifiedBy>Rodrigo Lopes</cp:lastModifiedBy>
  <cp:revision>10</cp:revision>
  <cp:lastPrinted>2024-07-29T17:26:00Z</cp:lastPrinted>
  <dcterms:created xsi:type="dcterms:W3CDTF">2024-06-11T15:07:00Z</dcterms:created>
  <dcterms:modified xsi:type="dcterms:W3CDTF">2024-07-29T17:26:00Z</dcterms:modified>
</cp:coreProperties>
</file>