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78DB" w14:textId="1F90CB93" w:rsidR="008C4E1A" w:rsidRPr="000C380B" w:rsidRDefault="00BC4205" w:rsidP="0058411C">
      <w:pPr>
        <w:jc w:val="center"/>
        <w:rPr>
          <w:rFonts w:ascii="Times New Roman" w:hAnsi="Times New Roman"/>
          <w:b/>
          <w:sz w:val="22"/>
          <w:szCs w:val="22"/>
        </w:rPr>
      </w:pPr>
      <w:r w:rsidRPr="000C380B">
        <w:rPr>
          <w:rFonts w:ascii="Times New Roman" w:hAnsi="Times New Roman"/>
          <w:b/>
          <w:sz w:val="22"/>
          <w:szCs w:val="22"/>
        </w:rPr>
        <w:t>SÚMULA DA 0</w:t>
      </w:r>
      <w:r w:rsidR="00DC69D9">
        <w:rPr>
          <w:rFonts w:ascii="Times New Roman" w:hAnsi="Times New Roman"/>
          <w:b/>
          <w:sz w:val="22"/>
          <w:szCs w:val="22"/>
        </w:rPr>
        <w:t>5</w:t>
      </w:r>
      <w:r w:rsidRPr="000C380B">
        <w:rPr>
          <w:rFonts w:ascii="Times New Roman" w:hAnsi="Times New Roman"/>
          <w:b/>
          <w:sz w:val="22"/>
          <w:szCs w:val="22"/>
        </w:rPr>
        <w:t>ª REUNIÃO ORDINÁRIA COPAF-CAU/AL EXERCÍCIO 2024</w:t>
      </w:r>
    </w:p>
    <w:p w14:paraId="362396D9" w14:textId="77777777" w:rsidR="0058411C" w:rsidRPr="000C380B" w:rsidRDefault="0058411C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675"/>
        <w:gridCol w:w="1406"/>
        <w:gridCol w:w="2498"/>
      </w:tblGrid>
      <w:tr w:rsidR="002208EE" w:rsidRPr="000C380B" w14:paraId="6A8144F5" w14:textId="77777777" w:rsidTr="00B97FA8">
        <w:trPr>
          <w:trHeight w:val="198"/>
        </w:trPr>
        <w:tc>
          <w:tcPr>
            <w:tcW w:w="1915" w:type="dxa"/>
            <w:shd w:val="clear" w:color="auto" w:fill="BFBFBF"/>
            <w:vAlign w:val="center"/>
          </w:tcPr>
          <w:p w14:paraId="5337ACEF" w14:textId="5636F604" w:rsidR="002208EE" w:rsidRPr="000C380B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75" w:type="dxa"/>
            <w:vAlign w:val="center"/>
          </w:tcPr>
          <w:p w14:paraId="19F23B59" w14:textId="21848928" w:rsidR="002208EE" w:rsidRPr="000C380B" w:rsidRDefault="00DC69D9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r w:rsidR="001812E5" w:rsidRPr="000C380B">
              <w:rPr>
                <w:rFonts w:ascii="Times New Roman" w:hAnsi="Times New Roman"/>
                <w:bCs/>
                <w:sz w:val="22"/>
                <w:szCs w:val="22"/>
              </w:rPr>
              <w:t>ma</w:t>
            </w:r>
            <w:r w:rsidR="00C11351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>o de 2024</w:t>
            </w:r>
          </w:p>
        </w:tc>
        <w:tc>
          <w:tcPr>
            <w:tcW w:w="1406" w:type="dxa"/>
            <w:shd w:val="clear" w:color="auto" w:fill="BFBFBF"/>
            <w:vAlign w:val="center"/>
          </w:tcPr>
          <w:p w14:paraId="7CDB75BB" w14:textId="7BC9D971" w:rsidR="002208EE" w:rsidRPr="000C380B" w:rsidRDefault="00830167" w:rsidP="00B97F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2498" w:type="dxa"/>
            <w:vAlign w:val="center"/>
          </w:tcPr>
          <w:p w14:paraId="0A40942D" w14:textId="0C3DB0A3" w:rsidR="002208EE" w:rsidRPr="000C380B" w:rsidRDefault="00C11351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 xml:space="preserve"> às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CB12C9" w:rsidRPr="000C380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2208EE" w:rsidRPr="000C380B">
              <w:rPr>
                <w:rFonts w:ascii="Times New Roman" w:hAnsi="Times New Roman"/>
                <w:bCs/>
                <w:sz w:val="22"/>
                <w:szCs w:val="22"/>
              </w:rPr>
              <w:t>min</w:t>
            </w:r>
          </w:p>
        </w:tc>
      </w:tr>
      <w:tr w:rsidR="002208EE" w:rsidRPr="000C380B" w14:paraId="37E069C1" w14:textId="77777777" w:rsidTr="00830167">
        <w:trPr>
          <w:trHeight w:val="275"/>
        </w:trPr>
        <w:tc>
          <w:tcPr>
            <w:tcW w:w="1915" w:type="dxa"/>
            <w:shd w:val="clear" w:color="auto" w:fill="BFBFBF"/>
            <w:vAlign w:val="center"/>
          </w:tcPr>
          <w:p w14:paraId="7C3F5732" w14:textId="3F1981AA" w:rsidR="002208EE" w:rsidRPr="000C380B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0C380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6579" w:type="dxa"/>
            <w:gridSpan w:val="3"/>
            <w:vAlign w:val="center"/>
          </w:tcPr>
          <w:p w14:paraId="25012475" w14:textId="77777777" w:rsidR="002208EE" w:rsidRPr="000C380B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Maceió – AL</w:t>
            </w:r>
          </w:p>
        </w:tc>
      </w:tr>
    </w:tbl>
    <w:p w14:paraId="3745F55E" w14:textId="77777777" w:rsidR="002208EE" w:rsidRPr="000C380B" w:rsidRDefault="002208EE" w:rsidP="002208E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917"/>
        <w:gridCol w:w="2515"/>
      </w:tblGrid>
      <w:tr w:rsidR="00B2568D" w:rsidRPr="000C380B" w14:paraId="2B1ECE2F" w14:textId="77777777" w:rsidTr="00B826A8">
        <w:tc>
          <w:tcPr>
            <w:tcW w:w="2062" w:type="dxa"/>
            <w:vMerge w:val="restart"/>
            <w:shd w:val="clear" w:color="auto" w:fill="BFBFBF"/>
            <w:vAlign w:val="center"/>
          </w:tcPr>
          <w:p w14:paraId="56FFFD0A" w14:textId="2D07B078" w:rsidR="00B2568D" w:rsidRPr="000C380B" w:rsidRDefault="000D2C09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Participantes</w:t>
            </w:r>
          </w:p>
        </w:tc>
        <w:tc>
          <w:tcPr>
            <w:tcW w:w="3917" w:type="dxa"/>
            <w:vAlign w:val="center"/>
          </w:tcPr>
          <w:p w14:paraId="359B4F49" w14:textId="77777777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Lorena Coimbra Cerqueira Tenório</w:t>
            </w:r>
          </w:p>
        </w:tc>
        <w:tc>
          <w:tcPr>
            <w:tcW w:w="2515" w:type="dxa"/>
            <w:vAlign w:val="center"/>
          </w:tcPr>
          <w:p w14:paraId="223D7784" w14:textId="77777777" w:rsidR="00B2568D" w:rsidRPr="000C380B" w:rsidRDefault="00B2568D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Cs/>
                <w:sz w:val="22"/>
                <w:szCs w:val="22"/>
              </w:rPr>
              <w:t>Coordenação Adjunta</w:t>
            </w:r>
          </w:p>
        </w:tc>
      </w:tr>
      <w:tr w:rsidR="00B2568D" w:rsidRPr="000C380B" w14:paraId="4C9D0E54" w14:textId="77777777" w:rsidTr="00B826A8">
        <w:tc>
          <w:tcPr>
            <w:tcW w:w="2062" w:type="dxa"/>
            <w:vMerge/>
            <w:shd w:val="clear" w:color="auto" w:fill="BFBFBF"/>
            <w:vAlign w:val="center"/>
          </w:tcPr>
          <w:p w14:paraId="2CFE3519" w14:textId="77777777" w:rsidR="00B2568D" w:rsidRPr="000C380B" w:rsidRDefault="00B2568D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7" w:type="dxa"/>
            <w:vAlign w:val="center"/>
          </w:tcPr>
          <w:p w14:paraId="2F47BAFA" w14:textId="4653D3ED" w:rsidR="00B2568D" w:rsidRPr="000C380B" w:rsidRDefault="000D2C09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D2C09">
              <w:rPr>
                <w:rFonts w:ascii="Times New Roman" w:hAnsi="Times New Roman"/>
                <w:bCs/>
                <w:sz w:val="22"/>
                <w:szCs w:val="22"/>
              </w:rPr>
              <w:t xml:space="preserve">Sofia Campos </w:t>
            </w:r>
            <w:proofErr w:type="spellStart"/>
            <w:r w:rsidRPr="000D2C09">
              <w:rPr>
                <w:rFonts w:ascii="Times New Roman" w:hAnsi="Times New Roman"/>
                <w:bCs/>
                <w:sz w:val="22"/>
                <w:szCs w:val="22"/>
              </w:rPr>
              <w:t>Christopoulos</w:t>
            </w:r>
            <w:proofErr w:type="spellEnd"/>
          </w:p>
        </w:tc>
        <w:tc>
          <w:tcPr>
            <w:tcW w:w="2515" w:type="dxa"/>
            <w:vAlign w:val="center"/>
          </w:tcPr>
          <w:p w14:paraId="6DDCD9D1" w14:textId="1261AF63" w:rsidR="00B2568D" w:rsidRPr="000C380B" w:rsidRDefault="000D2C09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Conselheira</w:t>
            </w:r>
          </w:p>
        </w:tc>
      </w:tr>
      <w:tr w:rsidR="002208EE" w:rsidRPr="000C380B" w14:paraId="5F8EDD84" w14:textId="77777777" w:rsidTr="00B826A8">
        <w:trPr>
          <w:trHeight w:val="157"/>
        </w:trPr>
        <w:tc>
          <w:tcPr>
            <w:tcW w:w="2062" w:type="dxa"/>
            <w:shd w:val="clear" w:color="auto" w:fill="BFBFBF"/>
            <w:vAlign w:val="center"/>
          </w:tcPr>
          <w:p w14:paraId="6A287A2E" w14:textId="1E899F8F" w:rsidR="002208EE" w:rsidRPr="000C380B" w:rsidRDefault="00830167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Assessoria</w:t>
            </w:r>
          </w:p>
        </w:tc>
        <w:tc>
          <w:tcPr>
            <w:tcW w:w="3917" w:type="dxa"/>
            <w:vAlign w:val="center"/>
          </w:tcPr>
          <w:p w14:paraId="2DE429F4" w14:textId="77777777" w:rsidR="002208EE" w:rsidRPr="000C380B" w:rsidRDefault="002208EE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José Rodrigo Lopes Pedro</w:t>
            </w:r>
          </w:p>
        </w:tc>
        <w:tc>
          <w:tcPr>
            <w:tcW w:w="2515" w:type="dxa"/>
            <w:vAlign w:val="center"/>
          </w:tcPr>
          <w:p w14:paraId="252A370E" w14:textId="102885CD" w:rsidR="002208EE" w:rsidRPr="000C380B" w:rsidRDefault="00830167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14:paraId="06D4EB18" w14:textId="77777777" w:rsidR="002208EE" w:rsidRPr="000C380B" w:rsidRDefault="002208EE" w:rsidP="002208E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465"/>
      </w:tblGrid>
      <w:tr w:rsidR="002208EE" w:rsidRPr="000C380B" w14:paraId="41E76CD3" w14:textId="77777777" w:rsidTr="006F4229">
        <w:tc>
          <w:tcPr>
            <w:tcW w:w="9205" w:type="dxa"/>
            <w:gridSpan w:val="2"/>
            <w:shd w:val="clear" w:color="auto" w:fill="BFBFBF"/>
          </w:tcPr>
          <w:p w14:paraId="314BBEE7" w14:textId="77777777" w:rsidR="002208EE" w:rsidRPr="000C380B" w:rsidRDefault="002208EE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50123" w:rsidRPr="000C380B" w14:paraId="4F797290" w14:textId="77777777" w:rsidTr="006F4229">
        <w:tc>
          <w:tcPr>
            <w:tcW w:w="2093" w:type="dxa"/>
            <w:shd w:val="clear" w:color="auto" w:fill="BFBFBF"/>
          </w:tcPr>
          <w:p w14:paraId="6646AA60" w14:textId="77777777" w:rsidR="002208EE" w:rsidRPr="000C380B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112" w:type="dxa"/>
          </w:tcPr>
          <w:p w14:paraId="400308E8" w14:textId="1B09C669" w:rsidR="002208EE" w:rsidRPr="000C380B" w:rsidRDefault="002208EE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123" w:rsidRPr="000C380B" w14:paraId="77144D48" w14:textId="77777777" w:rsidTr="006F4229">
        <w:tc>
          <w:tcPr>
            <w:tcW w:w="2093" w:type="dxa"/>
            <w:shd w:val="clear" w:color="auto" w:fill="BFBFBF"/>
          </w:tcPr>
          <w:p w14:paraId="012CE6B1" w14:textId="77777777" w:rsidR="002208EE" w:rsidRPr="000C380B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</w:tcPr>
          <w:p w14:paraId="329AC8C0" w14:textId="4108F8C9" w:rsidR="002208EE" w:rsidRPr="000C380B" w:rsidRDefault="002208EE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CAFB37" w14:textId="77777777" w:rsidR="001A4059" w:rsidRPr="000C380B" w:rsidRDefault="001A4059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374C" w:rsidRPr="000C380B" w14:paraId="73EB9FE2" w14:textId="77777777" w:rsidTr="0036374C">
        <w:tc>
          <w:tcPr>
            <w:tcW w:w="8494" w:type="dxa"/>
            <w:shd w:val="clear" w:color="auto" w:fill="BFBFBF"/>
          </w:tcPr>
          <w:p w14:paraId="78F541D6" w14:textId="107F87B2" w:rsidR="0036374C" w:rsidRPr="000C380B" w:rsidRDefault="00416917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14:paraId="7FE4136F" w14:textId="77777777" w:rsidR="001A4059" w:rsidRPr="000C380B" w:rsidRDefault="001A4059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CB2F04" w:rsidRPr="000C380B" w14:paraId="07118B30" w14:textId="77777777" w:rsidTr="0036374C">
        <w:tc>
          <w:tcPr>
            <w:tcW w:w="2018" w:type="dxa"/>
            <w:shd w:val="clear" w:color="auto" w:fill="BFBFBF"/>
          </w:tcPr>
          <w:p w14:paraId="06A04A6D" w14:textId="00005AFF" w:rsidR="00CB2F04" w:rsidRPr="000C380B" w:rsidRDefault="00CB2F04" w:rsidP="00CB2F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476" w:type="dxa"/>
          </w:tcPr>
          <w:p w14:paraId="4E53FCAE" w14:textId="574B9A28" w:rsidR="00CB2F04" w:rsidRPr="000C380B" w:rsidRDefault="00CB2F04" w:rsidP="00CB2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4138F0">
              <w:rPr>
                <w:rFonts w:ascii="Times New Roman" w:hAnsi="Times New Roman"/>
                <w:b/>
                <w:sz w:val="22"/>
                <w:szCs w:val="22"/>
              </w:rPr>
              <w:t xml:space="preserve">egulamenta a concessão de patrocínios pelo Conselho de Arquitetura e Urbanismo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Alagoas</w:t>
            </w:r>
            <w:r w:rsidRPr="004138F0">
              <w:rPr>
                <w:rFonts w:ascii="Times New Roman" w:hAnsi="Times New Roman"/>
                <w:b/>
                <w:sz w:val="22"/>
                <w:szCs w:val="22"/>
              </w:rPr>
              <w:t xml:space="preserve"> – CAU/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AL</w:t>
            </w:r>
            <w:r w:rsidRPr="004138F0">
              <w:rPr>
                <w:rFonts w:ascii="Times New Roman" w:hAnsi="Times New Roman"/>
                <w:b/>
                <w:sz w:val="22"/>
                <w:szCs w:val="22"/>
              </w:rPr>
              <w:t xml:space="preserve"> e dá outras providências.</w:t>
            </w:r>
          </w:p>
        </w:tc>
      </w:tr>
      <w:tr w:rsidR="00830167" w:rsidRPr="000C380B" w14:paraId="1FF191ED" w14:textId="77777777" w:rsidTr="0036374C">
        <w:tc>
          <w:tcPr>
            <w:tcW w:w="2018" w:type="dxa"/>
            <w:shd w:val="clear" w:color="auto" w:fill="BFBFBF"/>
          </w:tcPr>
          <w:p w14:paraId="47155A19" w14:textId="41457A53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192E4AA0" w14:textId="139E70C5" w:rsidR="00830167" w:rsidRPr="000C380B" w:rsidRDefault="00CB2F04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Presidência</w:t>
            </w:r>
          </w:p>
        </w:tc>
      </w:tr>
      <w:tr w:rsidR="00830167" w:rsidRPr="000C380B" w14:paraId="499C7313" w14:textId="77777777" w:rsidTr="0036374C">
        <w:tc>
          <w:tcPr>
            <w:tcW w:w="2018" w:type="dxa"/>
            <w:shd w:val="clear" w:color="auto" w:fill="BFBFBF"/>
          </w:tcPr>
          <w:p w14:paraId="630B95DD" w14:textId="63FE1CF1" w:rsidR="00830167" w:rsidRPr="000C380B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4E8118AD" w14:textId="1D0F61F6" w:rsidR="00830167" w:rsidRPr="000C380B" w:rsidRDefault="000244E7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definir</w:t>
            </w:r>
          </w:p>
        </w:tc>
      </w:tr>
      <w:tr w:rsidR="00380642" w:rsidRPr="000C380B" w14:paraId="637C09BD" w14:textId="77777777" w:rsidTr="0036374C">
        <w:tc>
          <w:tcPr>
            <w:tcW w:w="2018" w:type="dxa"/>
            <w:shd w:val="clear" w:color="auto" w:fill="BFBFBF"/>
          </w:tcPr>
          <w:p w14:paraId="0FE0CE40" w14:textId="0EC754D6" w:rsidR="00380642" w:rsidRPr="000C380B" w:rsidRDefault="00380642" w:rsidP="003806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E552512" w14:textId="002AFFE2" w:rsidR="00380642" w:rsidRPr="000C380B" w:rsidRDefault="00380642" w:rsidP="003806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Devido ao avançar da hora, o ponto ficou para ser analisado na próxima reunião ordinária da COPAF-CAU/AL</w:t>
            </w:r>
          </w:p>
        </w:tc>
      </w:tr>
    </w:tbl>
    <w:p w14:paraId="0C4DC712" w14:textId="77777777" w:rsidR="00936678" w:rsidRPr="000C380B" w:rsidRDefault="00936678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BC1C2C" w:rsidRPr="000C380B" w14:paraId="65F0D868" w14:textId="77777777" w:rsidTr="0002797E">
        <w:tc>
          <w:tcPr>
            <w:tcW w:w="2018" w:type="dxa"/>
            <w:shd w:val="clear" w:color="auto" w:fill="BFBFBF"/>
          </w:tcPr>
          <w:p w14:paraId="77506DB9" w14:textId="40597126" w:rsidR="00BC1C2C" w:rsidRPr="000C380B" w:rsidRDefault="00BC1C2C" w:rsidP="00BC1C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476" w:type="dxa"/>
          </w:tcPr>
          <w:p w14:paraId="638E521C" w14:textId="3D1EDBA4" w:rsidR="00BC1C2C" w:rsidRPr="000C380B" w:rsidRDefault="00BC1C2C" w:rsidP="00BC1C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32B">
              <w:rPr>
                <w:rFonts w:ascii="Times New Roman" w:hAnsi="Times New Roman"/>
                <w:b/>
                <w:sz w:val="22"/>
                <w:szCs w:val="22"/>
              </w:rPr>
              <w:t>Relatório Implantação da sede em Arapiraca/AL</w:t>
            </w:r>
          </w:p>
        </w:tc>
      </w:tr>
      <w:tr w:rsidR="0065266D" w:rsidRPr="000C380B" w14:paraId="6D16C825" w14:textId="77777777" w:rsidTr="0002797E">
        <w:tc>
          <w:tcPr>
            <w:tcW w:w="2018" w:type="dxa"/>
            <w:shd w:val="clear" w:color="auto" w:fill="BFBFBF"/>
          </w:tcPr>
          <w:p w14:paraId="63AAFE9F" w14:textId="77777777" w:rsidR="0065266D" w:rsidRPr="000C380B" w:rsidRDefault="0065266D" w:rsidP="006526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31F708BB" w14:textId="1D960986" w:rsidR="0065266D" w:rsidRPr="000C380B" w:rsidRDefault="0065266D" w:rsidP="00652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32B">
              <w:rPr>
                <w:rFonts w:ascii="Times New Roman" w:hAnsi="Times New Roman"/>
                <w:sz w:val="22"/>
                <w:szCs w:val="22"/>
              </w:rPr>
              <w:t>00148.000017/2024-78</w:t>
            </w:r>
          </w:p>
        </w:tc>
      </w:tr>
      <w:tr w:rsidR="00AD3080" w:rsidRPr="000C380B" w14:paraId="4464435A" w14:textId="77777777" w:rsidTr="0002797E">
        <w:tc>
          <w:tcPr>
            <w:tcW w:w="2018" w:type="dxa"/>
            <w:shd w:val="clear" w:color="auto" w:fill="BFBFBF"/>
          </w:tcPr>
          <w:p w14:paraId="1E0927F5" w14:textId="77777777" w:rsidR="00AD3080" w:rsidRPr="000C380B" w:rsidRDefault="00AD3080" w:rsidP="00AD30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604EA6DD" w14:textId="39F2FD6D" w:rsidR="00AD3080" w:rsidRPr="000C380B" w:rsidRDefault="00AD3080" w:rsidP="00AD30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32B">
              <w:rPr>
                <w:rFonts w:ascii="Times New Roman" w:hAnsi="Times New Roman"/>
                <w:bCs/>
                <w:sz w:val="22"/>
                <w:szCs w:val="22"/>
              </w:rPr>
              <w:t>Conselheira Lorena Coimbra</w:t>
            </w:r>
          </w:p>
        </w:tc>
      </w:tr>
      <w:tr w:rsidR="007F6CC7" w:rsidRPr="000C380B" w14:paraId="554402B9" w14:textId="77777777" w:rsidTr="0002797E">
        <w:tc>
          <w:tcPr>
            <w:tcW w:w="2018" w:type="dxa"/>
            <w:shd w:val="clear" w:color="auto" w:fill="BFBFBF"/>
          </w:tcPr>
          <w:p w14:paraId="5578B015" w14:textId="77777777" w:rsidR="007F6CC7" w:rsidRPr="000C380B" w:rsidRDefault="007F6CC7" w:rsidP="007F6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1207EE0C" w14:textId="62BDE3F0" w:rsidR="007F6CC7" w:rsidRPr="000C380B" w:rsidRDefault="007F6CC7" w:rsidP="007F6C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Foi apresentado</w:t>
            </w:r>
            <w:r w:rsidR="00E0645E">
              <w:rPr>
                <w:rFonts w:ascii="Times New Roman" w:hAnsi="Times New Roman"/>
                <w:sz w:val="22"/>
                <w:szCs w:val="22"/>
              </w:rPr>
              <w:t xml:space="preserve"> relatório elaborado pela </w:t>
            </w:r>
            <w:r w:rsidRPr="000C380B">
              <w:rPr>
                <w:rFonts w:ascii="Times New Roman" w:hAnsi="Times New Roman"/>
                <w:sz w:val="22"/>
                <w:szCs w:val="22"/>
              </w:rPr>
              <w:t xml:space="preserve">Conselheira </w:t>
            </w:r>
            <w:r w:rsidR="00E0645E" w:rsidRPr="00E0645E">
              <w:rPr>
                <w:rFonts w:ascii="Times New Roman" w:hAnsi="Times New Roman"/>
                <w:sz w:val="22"/>
                <w:szCs w:val="22"/>
              </w:rPr>
              <w:t>Lorena Coimbra Cerqueira Tenório</w:t>
            </w:r>
            <w:r w:rsidRPr="000C380B">
              <w:rPr>
                <w:rFonts w:ascii="Times New Roman" w:hAnsi="Times New Roman"/>
                <w:sz w:val="22"/>
                <w:szCs w:val="22"/>
              </w:rPr>
              <w:t>,</w:t>
            </w:r>
            <w:r w:rsidR="00E0645E">
              <w:rPr>
                <w:rFonts w:ascii="Times New Roman" w:hAnsi="Times New Roman"/>
                <w:sz w:val="22"/>
                <w:szCs w:val="22"/>
              </w:rPr>
              <w:t xml:space="preserve"> responsável pela relatoria do processo,</w:t>
            </w:r>
            <w:r w:rsidR="00D16E0E">
              <w:rPr>
                <w:rFonts w:ascii="Times New Roman" w:hAnsi="Times New Roman"/>
                <w:sz w:val="22"/>
                <w:szCs w:val="22"/>
              </w:rPr>
              <w:t xml:space="preserve"> que após algumas </w:t>
            </w:r>
            <w:r w:rsidR="006F2965">
              <w:rPr>
                <w:rFonts w:ascii="Times New Roman" w:hAnsi="Times New Roman"/>
                <w:sz w:val="22"/>
                <w:szCs w:val="22"/>
              </w:rPr>
              <w:t>informações e esclarecimentos foi aprovado c</w:t>
            </w:r>
            <w:r w:rsidRPr="000C380B">
              <w:rPr>
                <w:rFonts w:ascii="Times New Roman" w:hAnsi="Times New Roman"/>
                <w:sz w:val="22"/>
                <w:szCs w:val="22"/>
              </w:rPr>
              <w:t xml:space="preserve">onforme </w:t>
            </w: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</w:t>
            </w:r>
            <w:r w:rsidR="00630FD4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</w:p>
        </w:tc>
      </w:tr>
    </w:tbl>
    <w:p w14:paraId="123193F1" w14:textId="77777777" w:rsidR="008C4DC5" w:rsidRPr="000C380B" w:rsidRDefault="008C4DC5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2C249F" w:rsidRPr="000C380B" w14:paraId="77381BA7" w14:textId="77777777" w:rsidTr="0002797E">
        <w:tc>
          <w:tcPr>
            <w:tcW w:w="2018" w:type="dxa"/>
            <w:shd w:val="clear" w:color="auto" w:fill="BFBFBF"/>
          </w:tcPr>
          <w:p w14:paraId="2D294E2C" w14:textId="111EED1D" w:rsidR="002C249F" w:rsidRPr="000C380B" w:rsidRDefault="002C249F" w:rsidP="002C24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476" w:type="dxa"/>
          </w:tcPr>
          <w:p w14:paraId="24A8B518" w14:textId="1A6CF186" w:rsidR="002C249F" w:rsidRPr="000C380B" w:rsidRDefault="002C249F" w:rsidP="002C24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de prestação de contas do 1º trimestre exercício 2024 </w:t>
            </w:r>
          </w:p>
        </w:tc>
      </w:tr>
      <w:tr w:rsidR="002C249F" w:rsidRPr="000C380B" w14:paraId="2955E495" w14:textId="77777777" w:rsidTr="0002797E">
        <w:tc>
          <w:tcPr>
            <w:tcW w:w="2018" w:type="dxa"/>
            <w:shd w:val="clear" w:color="auto" w:fill="BFBFBF"/>
          </w:tcPr>
          <w:p w14:paraId="3E89CFE0" w14:textId="77777777" w:rsidR="002C249F" w:rsidRPr="000C380B" w:rsidRDefault="002C249F" w:rsidP="002C24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47F8A81B" w14:textId="4F6F7938" w:rsidR="002C249F" w:rsidRPr="000C380B" w:rsidRDefault="002C249F" w:rsidP="002C24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GAF-CAU/AL</w:t>
            </w:r>
          </w:p>
        </w:tc>
      </w:tr>
      <w:tr w:rsidR="002C249F" w:rsidRPr="000C380B" w14:paraId="5F44A74E" w14:textId="77777777" w:rsidTr="0002797E">
        <w:tc>
          <w:tcPr>
            <w:tcW w:w="2018" w:type="dxa"/>
            <w:shd w:val="clear" w:color="auto" w:fill="BFBFBF"/>
          </w:tcPr>
          <w:p w14:paraId="5F2EFAA0" w14:textId="77777777" w:rsidR="002C249F" w:rsidRPr="000C380B" w:rsidRDefault="002C249F" w:rsidP="002C24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2851A571" w14:textId="0E94B8D0" w:rsidR="002C249F" w:rsidRPr="000C380B" w:rsidRDefault="002C249F" w:rsidP="002C24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Gerente Administrativo e Financeiro do CAU/AL</w:t>
            </w:r>
          </w:p>
        </w:tc>
      </w:tr>
      <w:tr w:rsidR="007E5161" w:rsidRPr="000C380B" w14:paraId="18BD4AC5" w14:textId="77777777" w:rsidTr="0002797E">
        <w:tc>
          <w:tcPr>
            <w:tcW w:w="2018" w:type="dxa"/>
            <w:shd w:val="clear" w:color="auto" w:fill="BFBFBF"/>
          </w:tcPr>
          <w:p w14:paraId="67D35192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0ED4002" w14:textId="2CD43782" w:rsidR="007E5161" w:rsidRPr="000C380B" w:rsidRDefault="000E4E00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Administrativo e Financeiro fez a apresentação da prestação de contas do 1º trimestre inform</w:t>
            </w:r>
            <w:r w:rsidR="003A343B">
              <w:rPr>
                <w:rFonts w:ascii="Times New Roman" w:hAnsi="Times New Roman"/>
                <w:sz w:val="22"/>
                <w:szCs w:val="22"/>
              </w:rPr>
              <w:t>ou também sobre o relatório do contador do CAU/BR, Alcira</w:t>
            </w:r>
            <w:r w:rsidR="00CE739D">
              <w:rPr>
                <w:rFonts w:ascii="Times New Roman" w:hAnsi="Times New Roman"/>
                <w:sz w:val="22"/>
                <w:szCs w:val="22"/>
              </w:rPr>
              <w:t>n Coelho de Souza Junior,</w:t>
            </w:r>
            <w:r w:rsidR="00E72F9C">
              <w:rPr>
                <w:rFonts w:ascii="Times New Roman" w:hAnsi="Times New Roman"/>
                <w:sz w:val="22"/>
                <w:szCs w:val="22"/>
              </w:rPr>
              <w:t xml:space="preserve"> após esclarecimentos, </w:t>
            </w:r>
            <w:r w:rsidR="0064470F">
              <w:rPr>
                <w:rFonts w:ascii="Times New Roman" w:hAnsi="Times New Roman"/>
                <w:sz w:val="22"/>
                <w:szCs w:val="22"/>
              </w:rPr>
              <w:t xml:space="preserve">foi aprovado conforme </w:t>
            </w:r>
            <w:r w:rsidR="0064470F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 w:rsidR="0064470F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64470F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</w:p>
        </w:tc>
      </w:tr>
    </w:tbl>
    <w:p w14:paraId="48DBE661" w14:textId="77777777" w:rsidR="008C4DC5" w:rsidRPr="000C380B" w:rsidRDefault="008C4DC5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3902C6" w:rsidRPr="000C380B" w14:paraId="57EC4934" w14:textId="77777777" w:rsidTr="0002797E">
        <w:tc>
          <w:tcPr>
            <w:tcW w:w="2018" w:type="dxa"/>
            <w:shd w:val="clear" w:color="auto" w:fill="BFBFBF"/>
          </w:tcPr>
          <w:p w14:paraId="30EA2A54" w14:textId="12FCA21B" w:rsidR="003902C6" w:rsidRPr="000C380B" w:rsidRDefault="003902C6" w:rsidP="003902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476" w:type="dxa"/>
          </w:tcPr>
          <w:p w14:paraId="2266AC4A" w14:textId="1BA8FA07" w:rsidR="003902C6" w:rsidRPr="000C380B" w:rsidRDefault="003902C6" w:rsidP="003902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3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Regulamenta os procedimentos e normas para criação de projetos e dá outras providências.   </w:t>
            </w:r>
          </w:p>
        </w:tc>
      </w:tr>
      <w:tr w:rsidR="003902C6" w:rsidRPr="000C380B" w14:paraId="6FEA6319" w14:textId="77777777" w:rsidTr="0002797E">
        <w:tc>
          <w:tcPr>
            <w:tcW w:w="2018" w:type="dxa"/>
            <w:shd w:val="clear" w:color="auto" w:fill="BFBFBF"/>
          </w:tcPr>
          <w:p w14:paraId="1EC1442F" w14:textId="77777777" w:rsidR="003902C6" w:rsidRPr="000C380B" w:rsidRDefault="003902C6" w:rsidP="003902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77616EF3" w14:textId="27D7CE2E" w:rsidR="003902C6" w:rsidRPr="000C380B" w:rsidRDefault="0064470F" w:rsidP="003902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32B">
              <w:rPr>
                <w:rFonts w:ascii="Times New Roman" w:hAnsi="Times New Roman"/>
                <w:sz w:val="22"/>
                <w:szCs w:val="22"/>
              </w:rPr>
              <w:t>P</w:t>
            </w:r>
            <w:r w:rsidR="003902C6" w:rsidRPr="006F632B">
              <w:rPr>
                <w:rFonts w:ascii="Times New Roman" w:hAnsi="Times New Roman"/>
                <w:sz w:val="22"/>
                <w:szCs w:val="22"/>
              </w:rPr>
              <w:t>residência</w:t>
            </w:r>
          </w:p>
        </w:tc>
      </w:tr>
      <w:tr w:rsidR="003902C6" w:rsidRPr="000C380B" w14:paraId="3A80E0C1" w14:textId="77777777" w:rsidTr="0002797E">
        <w:tc>
          <w:tcPr>
            <w:tcW w:w="2018" w:type="dxa"/>
            <w:shd w:val="clear" w:color="auto" w:fill="BFBFBF"/>
          </w:tcPr>
          <w:p w14:paraId="0DE8BBFB" w14:textId="77777777" w:rsidR="003902C6" w:rsidRPr="000C380B" w:rsidRDefault="003902C6" w:rsidP="003902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34805670" w14:textId="3D86F275" w:rsidR="003902C6" w:rsidRPr="000C380B" w:rsidRDefault="003902C6" w:rsidP="003902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32B">
              <w:rPr>
                <w:rFonts w:ascii="Times New Roman" w:hAnsi="Times New Roman"/>
                <w:sz w:val="22"/>
                <w:szCs w:val="22"/>
              </w:rPr>
              <w:t>A definir</w:t>
            </w:r>
          </w:p>
        </w:tc>
      </w:tr>
      <w:tr w:rsidR="007E5161" w:rsidRPr="000C380B" w14:paraId="174506D9" w14:textId="77777777" w:rsidTr="000C380B">
        <w:trPr>
          <w:trHeight w:val="93"/>
        </w:trPr>
        <w:tc>
          <w:tcPr>
            <w:tcW w:w="2018" w:type="dxa"/>
            <w:shd w:val="clear" w:color="auto" w:fill="BFBFBF"/>
          </w:tcPr>
          <w:p w14:paraId="7D3B0C53" w14:textId="77777777" w:rsidR="007E5161" w:rsidRPr="000C380B" w:rsidRDefault="007E5161" w:rsidP="000279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5D54BF8A" w14:textId="38A7CBE8" w:rsidR="007E5161" w:rsidRPr="000C380B" w:rsidRDefault="00691346" w:rsidP="000279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an</w:t>
            </w:r>
            <w:r w:rsidR="00B42177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lise do modelo de </w:t>
            </w:r>
            <w:r w:rsidR="00CF7001">
              <w:rPr>
                <w:rFonts w:ascii="Times New Roman" w:hAnsi="Times New Roman"/>
                <w:sz w:val="22"/>
                <w:szCs w:val="22"/>
              </w:rPr>
              <w:t xml:space="preserve">Portaria Normativa </w:t>
            </w:r>
            <w:r w:rsidR="000933C9">
              <w:rPr>
                <w:rFonts w:ascii="Times New Roman" w:hAnsi="Times New Roman"/>
                <w:sz w:val="22"/>
                <w:szCs w:val="22"/>
              </w:rPr>
              <w:t xml:space="preserve">a ser adotado pelo CAU/AL para </w:t>
            </w:r>
            <w:r w:rsidR="001D2599" w:rsidRPr="001D2599">
              <w:rPr>
                <w:rFonts w:ascii="Times New Roman" w:hAnsi="Times New Roman"/>
                <w:sz w:val="22"/>
                <w:szCs w:val="22"/>
              </w:rPr>
              <w:t>a realização de projetos gerais para eventos, palestras, seminários, oficinas, cursos e quanto ao convite de palestrantes, oradores e demais apresentadores, além de convidados para participação ou representantes</w:t>
            </w:r>
            <w:r w:rsidR="00CF7001">
              <w:rPr>
                <w:rFonts w:ascii="Times New Roman" w:hAnsi="Times New Roman"/>
                <w:sz w:val="22"/>
                <w:szCs w:val="22"/>
              </w:rPr>
              <w:t>, modelo do CAU/RO,</w:t>
            </w:r>
            <w:r w:rsidR="00A963F1">
              <w:rPr>
                <w:rFonts w:ascii="Times New Roman" w:hAnsi="Times New Roman"/>
                <w:sz w:val="22"/>
                <w:szCs w:val="22"/>
              </w:rPr>
              <w:t xml:space="preserve"> foram </w:t>
            </w:r>
            <w:proofErr w:type="gramStart"/>
            <w:r w:rsidR="00A963F1">
              <w:rPr>
                <w:rFonts w:ascii="Times New Roman" w:hAnsi="Times New Roman"/>
                <w:sz w:val="22"/>
                <w:szCs w:val="22"/>
              </w:rPr>
              <w:t>sugeridos</w:t>
            </w:r>
            <w:proofErr w:type="gramEnd"/>
            <w:r w:rsidR="00A963F1">
              <w:rPr>
                <w:rFonts w:ascii="Times New Roman" w:hAnsi="Times New Roman"/>
                <w:sz w:val="22"/>
                <w:szCs w:val="22"/>
              </w:rPr>
              <w:t xml:space="preserve"> algumas mudanças no modelo apresentado</w:t>
            </w:r>
            <w:r w:rsidR="008B22CD">
              <w:rPr>
                <w:rFonts w:ascii="Times New Roman" w:hAnsi="Times New Roman"/>
                <w:sz w:val="22"/>
                <w:szCs w:val="22"/>
              </w:rPr>
              <w:t>, que após ajuste foi aprovado conforme</w:t>
            </w:r>
            <w:r w:rsidR="008B22CD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n° 0</w:t>
            </w:r>
            <w:r w:rsidR="008B22C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072F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8B22CD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  <w:r w:rsidR="00094E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449C3" w:rsidRPr="001449C3">
              <w:rPr>
                <w:rFonts w:ascii="Times New Roman" w:hAnsi="Times New Roman"/>
                <w:sz w:val="22"/>
                <w:szCs w:val="22"/>
              </w:rPr>
              <w:t>Ato continuo</w:t>
            </w:r>
            <w:r w:rsidR="001449C3">
              <w:rPr>
                <w:rFonts w:ascii="Times New Roman" w:hAnsi="Times New Roman"/>
                <w:sz w:val="22"/>
                <w:szCs w:val="22"/>
              </w:rPr>
              <w:t xml:space="preserve">, foi analisado </w:t>
            </w:r>
            <w:r w:rsidR="0062574C">
              <w:rPr>
                <w:rFonts w:ascii="Times New Roman" w:hAnsi="Times New Roman"/>
                <w:sz w:val="22"/>
                <w:szCs w:val="22"/>
              </w:rPr>
              <w:t>a proposta apresentada pela Conselheira federal suplente</w:t>
            </w:r>
            <w:r w:rsidR="001449C3" w:rsidRPr="001449C3">
              <w:rPr>
                <w:rFonts w:ascii="Times New Roman" w:hAnsi="Times New Roman"/>
                <w:sz w:val="22"/>
                <w:szCs w:val="22"/>
              </w:rPr>
              <w:t>,</w:t>
            </w:r>
            <w:r w:rsidR="006257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338B" w:rsidRPr="000E338B">
              <w:rPr>
                <w:rFonts w:ascii="Times New Roman" w:hAnsi="Times New Roman"/>
                <w:sz w:val="22"/>
                <w:szCs w:val="22"/>
              </w:rPr>
              <w:t>Rosângela Benigna de Oliveira Carvalho</w:t>
            </w:r>
            <w:r w:rsidR="000E338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E338B">
              <w:rPr>
                <w:rFonts w:ascii="Times New Roman" w:hAnsi="Times New Roman"/>
                <w:sz w:val="22"/>
                <w:szCs w:val="22"/>
              </w:rPr>
              <w:lastRenderedPageBreak/>
              <w:t>o projeto “Café com CAU”</w:t>
            </w:r>
            <w:r w:rsidR="00BC2631">
              <w:rPr>
                <w:rFonts w:ascii="Times New Roman" w:hAnsi="Times New Roman"/>
                <w:sz w:val="22"/>
                <w:szCs w:val="22"/>
              </w:rPr>
              <w:t xml:space="preserve"> que após considerações sobre as informações apresentadas foi solicitado ajustes </w:t>
            </w:r>
            <w:r w:rsidR="00C437A1">
              <w:rPr>
                <w:rFonts w:ascii="Times New Roman" w:hAnsi="Times New Roman"/>
                <w:sz w:val="22"/>
                <w:szCs w:val="22"/>
              </w:rPr>
              <w:t xml:space="preserve">nas informações em conformidade com o </w:t>
            </w:r>
            <w:r w:rsidR="00B10942">
              <w:rPr>
                <w:rFonts w:ascii="Times New Roman" w:hAnsi="Times New Roman"/>
                <w:sz w:val="22"/>
                <w:szCs w:val="22"/>
              </w:rPr>
              <w:t xml:space="preserve">regramento </w:t>
            </w:r>
            <w:r w:rsidR="00C437A1">
              <w:rPr>
                <w:rFonts w:ascii="Times New Roman" w:hAnsi="Times New Roman"/>
                <w:sz w:val="22"/>
                <w:szCs w:val="22"/>
              </w:rPr>
              <w:t>aprovado.</w:t>
            </w:r>
          </w:p>
        </w:tc>
      </w:tr>
    </w:tbl>
    <w:p w14:paraId="5875CD04" w14:textId="77777777" w:rsidR="00555822" w:rsidRPr="000C380B" w:rsidRDefault="00555822" w:rsidP="0055582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353515" w:rsidRPr="000C380B" w14:paraId="4A4EB2B8" w14:textId="77777777" w:rsidTr="00A4480D">
        <w:tc>
          <w:tcPr>
            <w:tcW w:w="2018" w:type="dxa"/>
            <w:shd w:val="clear" w:color="auto" w:fill="BFBFBF"/>
          </w:tcPr>
          <w:p w14:paraId="3A46F8A8" w14:textId="17D056D7" w:rsidR="00353515" w:rsidRPr="000C380B" w:rsidRDefault="00ED2EE1" w:rsidP="003535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476" w:type="dxa"/>
          </w:tcPr>
          <w:p w14:paraId="4FBE1594" w14:textId="1BF75906" w:rsidR="00353515" w:rsidRPr="000C380B" w:rsidRDefault="00353515" w:rsidP="003535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710A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elatório de processos de cobrança</w:t>
            </w:r>
          </w:p>
        </w:tc>
      </w:tr>
      <w:tr w:rsidR="00353515" w:rsidRPr="000C380B" w14:paraId="366EEA00" w14:textId="77777777" w:rsidTr="00A4480D">
        <w:tc>
          <w:tcPr>
            <w:tcW w:w="2018" w:type="dxa"/>
            <w:shd w:val="clear" w:color="auto" w:fill="BFBFBF"/>
          </w:tcPr>
          <w:p w14:paraId="482B2285" w14:textId="77777777" w:rsidR="00353515" w:rsidRPr="000C380B" w:rsidRDefault="00353515" w:rsidP="003535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39D834D0" w14:textId="6C99B5FE" w:rsidR="00353515" w:rsidRPr="000C380B" w:rsidRDefault="00353515" w:rsidP="003535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Jurídica do CAU/AL</w:t>
            </w:r>
          </w:p>
        </w:tc>
      </w:tr>
      <w:tr w:rsidR="00353515" w:rsidRPr="000C380B" w14:paraId="5AF7C43C" w14:textId="77777777" w:rsidTr="00A4480D">
        <w:tc>
          <w:tcPr>
            <w:tcW w:w="2018" w:type="dxa"/>
            <w:shd w:val="clear" w:color="auto" w:fill="BFBFBF"/>
          </w:tcPr>
          <w:p w14:paraId="5813E50E" w14:textId="77777777" w:rsidR="00353515" w:rsidRPr="000C380B" w:rsidRDefault="00353515" w:rsidP="003535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0E4728E0" w14:textId="5BB802ED" w:rsidR="00353515" w:rsidRPr="000C380B" w:rsidRDefault="00353515" w:rsidP="003535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definir</w:t>
            </w:r>
          </w:p>
        </w:tc>
      </w:tr>
      <w:tr w:rsidR="00555822" w:rsidRPr="000C380B" w14:paraId="497484B0" w14:textId="77777777" w:rsidTr="00A4480D">
        <w:trPr>
          <w:trHeight w:val="93"/>
        </w:trPr>
        <w:tc>
          <w:tcPr>
            <w:tcW w:w="2018" w:type="dxa"/>
            <w:shd w:val="clear" w:color="auto" w:fill="BFBFBF"/>
          </w:tcPr>
          <w:p w14:paraId="6E3007BD" w14:textId="77777777" w:rsidR="00555822" w:rsidRPr="000C380B" w:rsidRDefault="00555822" w:rsidP="00A448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43A5C49D" w14:textId="77777777" w:rsidR="00555822" w:rsidRPr="000C380B" w:rsidRDefault="00555822" w:rsidP="00A44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Devido ao avançar da hora, o ponto ficou para ser analisado na próxima reunião ordinária da COPAF-CAU/AL</w:t>
            </w:r>
          </w:p>
        </w:tc>
      </w:tr>
    </w:tbl>
    <w:p w14:paraId="7BFD785D" w14:textId="77777777" w:rsidR="00555822" w:rsidRPr="000C380B" w:rsidRDefault="00555822" w:rsidP="0055582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4A4126" w:rsidRPr="000C380B" w14:paraId="7595D496" w14:textId="77777777" w:rsidTr="00A4480D">
        <w:tc>
          <w:tcPr>
            <w:tcW w:w="2018" w:type="dxa"/>
            <w:shd w:val="clear" w:color="auto" w:fill="BFBFBF"/>
          </w:tcPr>
          <w:p w14:paraId="45FF782D" w14:textId="069E70E1" w:rsidR="004A4126" w:rsidRPr="000C380B" w:rsidRDefault="00ED2EE1" w:rsidP="004A41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476" w:type="dxa"/>
          </w:tcPr>
          <w:p w14:paraId="74B241DE" w14:textId="1B86FE33" w:rsidR="004A4126" w:rsidRPr="000C380B" w:rsidRDefault="004A4126" w:rsidP="004A41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Execução orçamentária 2024</w:t>
            </w:r>
          </w:p>
        </w:tc>
      </w:tr>
      <w:tr w:rsidR="004A4126" w:rsidRPr="000C380B" w14:paraId="2E07349F" w14:textId="77777777" w:rsidTr="00A4480D">
        <w:tc>
          <w:tcPr>
            <w:tcW w:w="2018" w:type="dxa"/>
            <w:shd w:val="clear" w:color="auto" w:fill="BFBFBF"/>
          </w:tcPr>
          <w:p w14:paraId="100970E9" w14:textId="77777777" w:rsidR="004A4126" w:rsidRPr="000C380B" w:rsidRDefault="004A4126" w:rsidP="004A41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553D5C35" w14:textId="42A1F464" w:rsidR="004A4126" w:rsidRPr="000C380B" w:rsidRDefault="004A4126" w:rsidP="004A41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GAF-CAU/AL</w:t>
            </w:r>
          </w:p>
        </w:tc>
      </w:tr>
      <w:tr w:rsidR="004A4126" w:rsidRPr="000C380B" w14:paraId="7B4DB860" w14:textId="77777777" w:rsidTr="00A4480D">
        <w:tc>
          <w:tcPr>
            <w:tcW w:w="2018" w:type="dxa"/>
            <w:shd w:val="clear" w:color="auto" w:fill="BFBFBF"/>
          </w:tcPr>
          <w:p w14:paraId="657A89A8" w14:textId="77777777" w:rsidR="004A4126" w:rsidRPr="000C380B" w:rsidRDefault="004A4126" w:rsidP="004A41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28FFE054" w14:textId="068AFAEA" w:rsidR="004A4126" w:rsidRPr="000C380B" w:rsidRDefault="004A4126" w:rsidP="004A41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Gerente Administrativo e Financeiro do CAU/AL</w:t>
            </w:r>
          </w:p>
        </w:tc>
      </w:tr>
      <w:tr w:rsidR="00555822" w:rsidRPr="000C380B" w14:paraId="691BE44E" w14:textId="77777777" w:rsidTr="00A4480D">
        <w:trPr>
          <w:trHeight w:val="93"/>
        </w:trPr>
        <w:tc>
          <w:tcPr>
            <w:tcW w:w="2018" w:type="dxa"/>
            <w:shd w:val="clear" w:color="auto" w:fill="BFBFBF"/>
          </w:tcPr>
          <w:p w14:paraId="6FA72E1D" w14:textId="77777777" w:rsidR="00555822" w:rsidRPr="000C380B" w:rsidRDefault="00555822" w:rsidP="00A448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7BA0F675" w14:textId="6FB23D6F" w:rsidR="00555822" w:rsidRPr="000C380B" w:rsidRDefault="00A62AC2" w:rsidP="00A44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Administrativo e Financeiro do CAU/AL, </w:t>
            </w:r>
            <w:r w:rsidR="00F401E6">
              <w:rPr>
                <w:rFonts w:ascii="Times New Roman" w:hAnsi="Times New Roman"/>
                <w:sz w:val="22"/>
                <w:szCs w:val="22"/>
              </w:rPr>
              <w:t xml:space="preserve">informo sobre os valores já executados das despesas por centro de custos, até </w:t>
            </w:r>
            <w:r w:rsidR="000702BA">
              <w:rPr>
                <w:rFonts w:ascii="Times New Roman" w:hAnsi="Times New Roman"/>
                <w:sz w:val="22"/>
                <w:szCs w:val="22"/>
              </w:rPr>
              <w:t xml:space="preserve">abril de 2024, informou que deverá ser realizado </w:t>
            </w:r>
            <w:r w:rsidR="0072138C">
              <w:rPr>
                <w:rFonts w:ascii="Times New Roman" w:hAnsi="Times New Roman"/>
                <w:sz w:val="22"/>
                <w:szCs w:val="22"/>
              </w:rPr>
              <w:t>suplementação de orçamento no centro de custos referente ao custeio de diárias e passagens</w:t>
            </w:r>
            <w:r w:rsidR="00393C6F">
              <w:rPr>
                <w:rFonts w:ascii="Times New Roman" w:hAnsi="Times New Roman"/>
                <w:sz w:val="22"/>
                <w:szCs w:val="22"/>
              </w:rPr>
              <w:t xml:space="preserve"> caso o fluxo de viagens seja mantido</w:t>
            </w:r>
            <w:r w:rsidR="000272B6">
              <w:rPr>
                <w:rFonts w:ascii="Times New Roman" w:hAnsi="Times New Roman"/>
                <w:sz w:val="22"/>
                <w:szCs w:val="22"/>
              </w:rPr>
              <w:t>,</w:t>
            </w:r>
            <w:r w:rsidR="008A68A8">
              <w:rPr>
                <w:rFonts w:ascii="Times New Roman" w:hAnsi="Times New Roman"/>
                <w:sz w:val="22"/>
                <w:szCs w:val="22"/>
              </w:rPr>
              <w:t xml:space="preserve"> foi aprovado conforme</w:t>
            </w:r>
            <w:r w:rsidR="004A4C0E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n° 0</w:t>
            </w:r>
            <w:r w:rsidR="004A4C0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072F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4A4C0E" w:rsidRPr="000C380B">
              <w:rPr>
                <w:rFonts w:ascii="Times New Roman" w:hAnsi="Times New Roman"/>
                <w:b/>
                <w:bCs/>
                <w:sz w:val="22"/>
                <w:szCs w:val="22"/>
              </w:rPr>
              <w:t>-2024 COPAF-CAU/AL.</w:t>
            </w:r>
            <w:r w:rsidR="00393C6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750F55B" w14:textId="77777777" w:rsidR="00555822" w:rsidRPr="000C380B" w:rsidRDefault="00555822" w:rsidP="0055582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ED2EE1" w:rsidRPr="000C380B" w14:paraId="4408C4B7" w14:textId="77777777" w:rsidTr="00A4480D">
        <w:tc>
          <w:tcPr>
            <w:tcW w:w="2018" w:type="dxa"/>
            <w:shd w:val="clear" w:color="auto" w:fill="BFBFBF"/>
          </w:tcPr>
          <w:p w14:paraId="57E188B0" w14:textId="492B1538" w:rsidR="00ED2EE1" w:rsidRPr="000C380B" w:rsidRDefault="00ED2EE1" w:rsidP="00ED2E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476" w:type="dxa"/>
          </w:tcPr>
          <w:p w14:paraId="02459F9C" w14:textId="073FFE2E" w:rsidR="00ED2EE1" w:rsidRPr="000C380B" w:rsidRDefault="00ED2EE1" w:rsidP="00ED2E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Gratificação Comissão de Licitações / Agente de Contratação</w:t>
            </w:r>
          </w:p>
        </w:tc>
      </w:tr>
      <w:tr w:rsidR="00ED2EE1" w:rsidRPr="000C380B" w14:paraId="06DE85C3" w14:textId="77777777" w:rsidTr="00A4480D">
        <w:tc>
          <w:tcPr>
            <w:tcW w:w="2018" w:type="dxa"/>
            <w:shd w:val="clear" w:color="auto" w:fill="BFBFBF"/>
          </w:tcPr>
          <w:p w14:paraId="1F6F7E4C" w14:textId="77777777" w:rsidR="00ED2EE1" w:rsidRPr="000C380B" w:rsidRDefault="00ED2EE1" w:rsidP="00ED2E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134CDD9D" w14:textId="4A3D87EB" w:rsidR="00ED2EE1" w:rsidRPr="000C380B" w:rsidRDefault="00ED2EE1" w:rsidP="00ED2E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GAF-CAU/AL</w:t>
            </w:r>
          </w:p>
        </w:tc>
      </w:tr>
      <w:tr w:rsidR="00ED2EE1" w:rsidRPr="000C380B" w14:paraId="3B2E8B3E" w14:textId="77777777" w:rsidTr="00A4480D">
        <w:tc>
          <w:tcPr>
            <w:tcW w:w="2018" w:type="dxa"/>
            <w:shd w:val="clear" w:color="auto" w:fill="BFBFBF"/>
          </w:tcPr>
          <w:p w14:paraId="21BE4662" w14:textId="77777777" w:rsidR="00ED2EE1" w:rsidRPr="000C380B" w:rsidRDefault="00ED2EE1" w:rsidP="00ED2E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1B9EEE74" w14:textId="0CD1C364" w:rsidR="00ED2EE1" w:rsidRPr="000C380B" w:rsidRDefault="00ED2EE1" w:rsidP="00ED2E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Gerente Administrativo e Financeiro do CAU/AL</w:t>
            </w:r>
          </w:p>
        </w:tc>
      </w:tr>
      <w:tr w:rsidR="00555822" w:rsidRPr="000C380B" w14:paraId="45E5D4AC" w14:textId="77777777" w:rsidTr="00A4480D">
        <w:trPr>
          <w:trHeight w:val="93"/>
        </w:trPr>
        <w:tc>
          <w:tcPr>
            <w:tcW w:w="2018" w:type="dxa"/>
            <w:shd w:val="clear" w:color="auto" w:fill="BFBFBF"/>
          </w:tcPr>
          <w:p w14:paraId="03A09EB9" w14:textId="77777777" w:rsidR="00555822" w:rsidRPr="000C380B" w:rsidRDefault="00555822" w:rsidP="00A448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380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43F5C07A" w14:textId="77777777" w:rsidR="00555822" w:rsidRPr="000C380B" w:rsidRDefault="00555822" w:rsidP="00A44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80B">
              <w:rPr>
                <w:rFonts w:ascii="Times New Roman" w:hAnsi="Times New Roman"/>
                <w:sz w:val="22"/>
                <w:szCs w:val="22"/>
              </w:rPr>
              <w:t>Devido ao avançar da hora, o ponto ficou para ser analisado na próxima reunião ordinária da COPAF-CAU/AL</w:t>
            </w:r>
          </w:p>
        </w:tc>
      </w:tr>
    </w:tbl>
    <w:p w14:paraId="3164CA97" w14:textId="77777777" w:rsidR="00555822" w:rsidRDefault="00555822" w:rsidP="0055582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738B2F4" w14:textId="77777777" w:rsidR="00936678" w:rsidRDefault="00936678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CBB14BF" w14:textId="77777777" w:rsidR="008C4DC5" w:rsidRDefault="008C4DC5" w:rsidP="0043641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A4224A3" w14:textId="1017DAFA" w:rsidR="00436411" w:rsidRPr="00FE3681" w:rsidRDefault="00436411" w:rsidP="00436411">
      <w:pPr>
        <w:jc w:val="center"/>
        <w:rPr>
          <w:rFonts w:ascii="Times New Roman" w:hAnsi="Times New Roman"/>
          <w:b/>
          <w:sz w:val="22"/>
          <w:szCs w:val="22"/>
        </w:rPr>
      </w:pPr>
      <w:r w:rsidRPr="00FE3681">
        <w:rPr>
          <w:rFonts w:ascii="Times New Roman" w:hAnsi="Times New Roman"/>
          <w:b/>
          <w:sz w:val="22"/>
          <w:szCs w:val="22"/>
        </w:rPr>
        <w:t>Lorena Coimbra Cerqueira Tenório</w:t>
      </w:r>
    </w:p>
    <w:p w14:paraId="4CAC3F6E" w14:textId="57316E8A" w:rsidR="00436411" w:rsidRPr="00FE3681" w:rsidRDefault="00436411" w:rsidP="00436411">
      <w:pPr>
        <w:jc w:val="center"/>
        <w:rPr>
          <w:rFonts w:ascii="Times New Roman" w:hAnsi="Times New Roman"/>
          <w:bCs/>
          <w:sz w:val="22"/>
          <w:szCs w:val="22"/>
        </w:rPr>
      </w:pPr>
      <w:r w:rsidRPr="00FE3681">
        <w:rPr>
          <w:rFonts w:ascii="Times New Roman" w:hAnsi="Times New Roman"/>
          <w:bCs/>
          <w:sz w:val="22"/>
          <w:szCs w:val="22"/>
        </w:rPr>
        <w:t>Coordenadora adjunta</w:t>
      </w:r>
    </w:p>
    <w:p w14:paraId="6324EFBD" w14:textId="77777777" w:rsidR="000D2C09" w:rsidRPr="00FE3681" w:rsidRDefault="000D2C09" w:rsidP="0043641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D863A19" w14:textId="77777777" w:rsidR="000D2C09" w:rsidRDefault="000D2C09" w:rsidP="000D2C0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753F15" w14:textId="77777777" w:rsidR="00FE3681" w:rsidRPr="00FE3681" w:rsidRDefault="00FE3681" w:rsidP="000D2C0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6FBA82" w14:textId="77777777" w:rsidR="000D2C09" w:rsidRPr="00FE3681" w:rsidRDefault="000D2C09" w:rsidP="000D2C09">
      <w:pPr>
        <w:jc w:val="center"/>
        <w:rPr>
          <w:rFonts w:ascii="Times New Roman" w:hAnsi="Times New Roman"/>
          <w:b/>
          <w:sz w:val="22"/>
          <w:szCs w:val="22"/>
        </w:rPr>
      </w:pPr>
      <w:r w:rsidRPr="00FE3681">
        <w:rPr>
          <w:rFonts w:ascii="Times New Roman" w:hAnsi="Times New Roman"/>
          <w:b/>
          <w:sz w:val="22"/>
          <w:szCs w:val="22"/>
        </w:rPr>
        <w:t xml:space="preserve">Sofia Campos </w:t>
      </w:r>
      <w:proofErr w:type="spellStart"/>
      <w:r w:rsidRPr="00FE3681">
        <w:rPr>
          <w:rFonts w:ascii="Times New Roman" w:hAnsi="Times New Roman"/>
          <w:b/>
          <w:sz w:val="22"/>
          <w:szCs w:val="22"/>
        </w:rPr>
        <w:t>Christopoulos</w:t>
      </w:r>
      <w:proofErr w:type="spellEnd"/>
    </w:p>
    <w:p w14:paraId="07C6ECDC" w14:textId="75A20B52" w:rsidR="000D2C09" w:rsidRPr="00FE3681" w:rsidRDefault="000D2C09" w:rsidP="00436411">
      <w:pPr>
        <w:jc w:val="center"/>
        <w:rPr>
          <w:rFonts w:ascii="Times New Roman" w:hAnsi="Times New Roman"/>
          <w:bCs/>
          <w:sz w:val="22"/>
          <w:szCs w:val="22"/>
        </w:rPr>
      </w:pPr>
      <w:r w:rsidRPr="00FE3681">
        <w:rPr>
          <w:rFonts w:ascii="Times New Roman" w:hAnsi="Times New Roman"/>
          <w:bCs/>
          <w:sz w:val="22"/>
          <w:szCs w:val="22"/>
        </w:rPr>
        <w:t>Conselheira</w:t>
      </w:r>
    </w:p>
    <w:sectPr w:rsidR="000D2C09" w:rsidRPr="00FE3681" w:rsidSect="00246F0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A78AF" w14:textId="77777777" w:rsidR="005F18D6" w:rsidRDefault="005F18D6" w:rsidP="001527A9">
      <w:r>
        <w:separator/>
      </w:r>
    </w:p>
  </w:endnote>
  <w:endnote w:type="continuationSeparator" w:id="0">
    <w:p w14:paraId="0E456EA8" w14:textId="77777777" w:rsidR="005F18D6" w:rsidRDefault="005F18D6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20000007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1C5D51" wp14:editId="6211D633">
              <wp:simplePos x="0" y="0"/>
              <wp:positionH relativeFrom="page">
                <wp:posOffset>7035165</wp:posOffset>
              </wp:positionH>
              <wp:positionV relativeFrom="margin">
                <wp:posOffset>7698105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3.95pt;margin-top:606.15pt;width:34.1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ToIaz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57216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75918989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3120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20047797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0412F" w14:textId="77777777" w:rsidR="005F18D6" w:rsidRDefault="005F18D6" w:rsidP="001527A9">
      <w:r>
        <w:separator/>
      </w:r>
    </w:p>
  </w:footnote>
  <w:footnote w:type="continuationSeparator" w:id="0">
    <w:p w14:paraId="29B84698" w14:textId="77777777" w:rsidR="005F18D6" w:rsidRDefault="005F18D6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72253016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311F"/>
    <w:multiLevelType w:val="hybridMultilevel"/>
    <w:tmpl w:val="2AFC738C"/>
    <w:lvl w:ilvl="0" w:tplc="BF468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2400">
    <w:abstractNumId w:val="0"/>
  </w:num>
  <w:num w:numId="2" w16cid:durableId="31610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021B3"/>
    <w:rsid w:val="000072FC"/>
    <w:rsid w:val="00011E8F"/>
    <w:rsid w:val="00014DA8"/>
    <w:rsid w:val="00021478"/>
    <w:rsid w:val="000244E7"/>
    <w:rsid w:val="00026572"/>
    <w:rsid w:val="000272B6"/>
    <w:rsid w:val="0005432F"/>
    <w:rsid w:val="000702BA"/>
    <w:rsid w:val="00071A96"/>
    <w:rsid w:val="000930C1"/>
    <w:rsid w:val="000933C9"/>
    <w:rsid w:val="00094E2B"/>
    <w:rsid w:val="000967AA"/>
    <w:rsid w:val="000C380B"/>
    <w:rsid w:val="000D2C09"/>
    <w:rsid w:val="000E338B"/>
    <w:rsid w:val="000E4E00"/>
    <w:rsid w:val="000E7A07"/>
    <w:rsid w:val="0011575E"/>
    <w:rsid w:val="001320C5"/>
    <w:rsid w:val="0013221E"/>
    <w:rsid w:val="001449C3"/>
    <w:rsid w:val="001527A9"/>
    <w:rsid w:val="001764F2"/>
    <w:rsid w:val="001812E5"/>
    <w:rsid w:val="0019562C"/>
    <w:rsid w:val="001A4059"/>
    <w:rsid w:val="001B6F99"/>
    <w:rsid w:val="001D2599"/>
    <w:rsid w:val="001D7D63"/>
    <w:rsid w:val="001F7D75"/>
    <w:rsid w:val="002208EE"/>
    <w:rsid w:val="002248BE"/>
    <w:rsid w:val="00225286"/>
    <w:rsid w:val="002372B0"/>
    <w:rsid w:val="00246F0F"/>
    <w:rsid w:val="00260215"/>
    <w:rsid w:val="002A6BB3"/>
    <w:rsid w:val="002B6069"/>
    <w:rsid w:val="002C249F"/>
    <w:rsid w:val="002D2C8F"/>
    <w:rsid w:val="002D7D0B"/>
    <w:rsid w:val="002E2115"/>
    <w:rsid w:val="002F03F1"/>
    <w:rsid w:val="002F2165"/>
    <w:rsid w:val="003127EF"/>
    <w:rsid w:val="003351A9"/>
    <w:rsid w:val="00343FFE"/>
    <w:rsid w:val="00344817"/>
    <w:rsid w:val="00352062"/>
    <w:rsid w:val="00353515"/>
    <w:rsid w:val="00354145"/>
    <w:rsid w:val="00362B2C"/>
    <w:rsid w:val="0036374C"/>
    <w:rsid w:val="00366924"/>
    <w:rsid w:val="00380642"/>
    <w:rsid w:val="003902C6"/>
    <w:rsid w:val="00393C6F"/>
    <w:rsid w:val="003960EB"/>
    <w:rsid w:val="003A343B"/>
    <w:rsid w:val="003A387E"/>
    <w:rsid w:val="003C05AC"/>
    <w:rsid w:val="003D5951"/>
    <w:rsid w:val="00407A19"/>
    <w:rsid w:val="0041589D"/>
    <w:rsid w:val="00416917"/>
    <w:rsid w:val="004267D3"/>
    <w:rsid w:val="004301A1"/>
    <w:rsid w:val="00436411"/>
    <w:rsid w:val="004462C9"/>
    <w:rsid w:val="0047563D"/>
    <w:rsid w:val="00476BD5"/>
    <w:rsid w:val="00486DC8"/>
    <w:rsid w:val="004A1021"/>
    <w:rsid w:val="004A4126"/>
    <w:rsid w:val="004A4C0E"/>
    <w:rsid w:val="004C49B7"/>
    <w:rsid w:val="004C58DF"/>
    <w:rsid w:val="004C6A04"/>
    <w:rsid w:val="004F285E"/>
    <w:rsid w:val="00537C1F"/>
    <w:rsid w:val="005410F2"/>
    <w:rsid w:val="005464F6"/>
    <w:rsid w:val="00555822"/>
    <w:rsid w:val="0055788E"/>
    <w:rsid w:val="00572BB5"/>
    <w:rsid w:val="00575BD4"/>
    <w:rsid w:val="0058411C"/>
    <w:rsid w:val="0058658B"/>
    <w:rsid w:val="005909D5"/>
    <w:rsid w:val="005A1322"/>
    <w:rsid w:val="005A1DE5"/>
    <w:rsid w:val="005A30F5"/>
    <w:rsid w:val="005C296E"/>
    <w:rsid w:val="005C5B8A"/>
    <w:rsid w:val="005C7131"/>
    <w:rsid w:val="005F18D6"/>
    <w:rsid w:val="0062574C"/>
    <w:rsid w:val="00630FD4"/>
    <w:rsid w:val="00631359"/>
    <w:rsid w:val="0064470F"/>
    <w:rsid w:val="0065266D"/>
    <w:rsid w:val="006821D1"/>
    <w:rsid w:val="00691346"/>
    <w:rsid w:val="00694151"/>
    <w:rsid w:val="006A40F8"/>
    <w:rsid w:val="006B23AD"/>
    <w:rsid w:val="006D3712"/>
    <w:rsid w:val="006D75D5"/>
    <w:rsid w:val="006F2965"/>
    <w:rsid w:val="006F6292"/>
    <w:rsid w:val="0072138C"/>
    <w:rsid w:val="00727527"/>
    <w:rsid w:val="00727CB2"/>
    <w:rsid w:val="00730932"/>
    <w:rsid w:val="00741657"/>
    <w:rsid w:val="00760C7B"/>
    <w:rsid w:val="00771BC9"/>
    <w:rsid w:val="00781297"/>
    <w:rsid w:val="007B0D4A"/>
    <w:rsid w:val="007B4476"/>
    <w:rsid w:val="007C39CE"/>
    <w:rsid w:val="007D5130"/>
    <w:rsid w:val="007E0FC2"/>
    <w:rsid w:val="007E5161"/>
    <w:rsid w:val="007F6CC7"/>
    <w:rsid w:val="00806E76"/>
    <w:rsid w:val="00806F7F"/>
    <w:rsid w:val="00815C5E"/>
    <w:rsid w:val="00820B35"/>
    <w:rsid w:val="00830167"/>
    <w:rsid w:val="008371F1"/>
    <w:rsid w:val="00853A7D"/>
    <w:rsid w:val="0085454D"/>
    <w:rsid w:val="00863820"/>
    <w:rsid w:val="00867877"/>
    <w:rsid w:val="00896B47"/>
    <w:rsid w:val="00897900"/>
    <w:rsid w:val="008A3ED0"/>
    <w:rsid w:val="008A68A8"/>
    <w:rsid w:val="008B22CD"/>
    <w:rsid w:val="008B650D"/>
    <w:rsid w:val="008B690D"/>
    <w:rsid w:val="008C4DC5"/>
    <w:rsid w:val="008C4E1A"/>
    <w:rsid w:val="008D05C9"/>
    <w:rsid w:val="008D37B6"/>
    <w:rsid w:val="008E75D2"/>
    <w:rsid w:val="0093190B"/>
    <w:rsid w:val="00932CA8"/>
    <w:rsid w:val="00936678"/>
    <w:rsid w:val="00966415"/>
    <w:rsid w:val="00973EC4"/>
    <w:rsid w:val="00992D07"/>
    <w:rsid w:val="009A5549"/>
    <w:rsid w:val="009C5DB0"/>
    <w:rsid w:val="009C7FDE"/>
    <w:rsid w:val="009D5488"/>
    <w:rsid w:val="00A01AA5"/>
    <w:rsid w:val="00A25795"/>
    <w:rsid w:val="00A27301"/>
    <w:rsid w:val="00A62AC2"/>
    <w:rsid w:val="00A70617"/>
    <w:rsid w:val="00A729FC"/>
    <w:rsid w:val="00A73D6D"/>
    <w:rsid w:val="00A963F1"/>
    <w:rsid w:val="00AB63C1"/>
    <w:rsid w:val="00AD2555"/>
    <w:rsid w:val="00AD3080"/>
    <w:rsid w:val="00B10942"/>
    <w:rsid w:val="00B179A1"/>
    <w:rsid w:val="00B21E33"/>
    <w:rsid w:val="00B2568D"/>
    <w:rsid w:val="00B42177"/>
    <w:rsid w:val="00B82528"/>
    <w:rsid w:val="00B826A8"/>
    <w:rsid w:val="00B97FA8"/>
    <w:rsid w:val="00BC1C2C"/>
    <w:rsid w:val="00BC2631"/>
    <w:rsid w:val="00BC4205"/>
    <w:rsid w:val="00BD6EE2"/>
    <w:rsid w:val="00BE2FCC"/>
    <w:rsid w:val="00BE30C4"/>
    <w:rsid w:val="00BE4900"/>
    <w:rsid w:val="00C11351"/>
    <w:rsid w:val="00C16F8B"/>
    <w:rsid w:val="00C2589E"/>
    <w:rsid w:val="00C437A1"/>
    <w:rsid w:val="00C50123"/>
    <w:rsid w:val="00C550E5"/>
    <w:rsid w:val="00C5733C"/>
    <w:rsid w:val="00C82E5D"/>
    <w:rsid w:val="00CA6514"/>
    <w:rsid w:val="00CB12C9"/>
    <w:rsid w:val="00CB2F04"/>
    <w:rsid w:val="00CC5DBB"/>
    <w:rsid w:val="00CD75DA"/>
    <w:rsid w:val="00CE739D"/>
    <w:rsid w:val="00CF16A7"/>
    <w:rsid w:val="00CF36C1"/>
    <w:rsid w:val="00CF55CC"/>
    <w:rsid w:val="00CF7001"/>
    <w:rsid w:val="00D16E0E"/>
    <w:rsid w:val="00D24F60"/>
    <w:rsid w:val="00D3682A"/>
    <w:rsid w:val="00D63613"/>
    <w:rsid w:val="00DC69D9"/>
    <w:rsid w:val="00DE25EA"/>
    <w:rsid w:val="00E04848"/>
    <w:rsid w:val="00E0645E"/>
    <w:rsid w:val="00E22EAD"/>
    <w:rsid w:val="00E34A3C"/>
    <w:rsid w:val="00E37F72"/>
    <w:rsid w:val="00E410B7"/>
    <w:rsid w:val="00E71ACB"/>
    <w:rsid w:val="00E72C7E"/>
    <w:rsid w:val="00E72F9C"/>
    <w:rsid w:val="00EA6B65"/>
    <w:rsid w:val="00EB5F1C"/>
    <w:rsid w:val="00ED2EE1"/>
    <w:rsid w:val="00EF1232"/>
    <w:rsid w:val="00F0226E"/>
    <w:rsid w:val="00F16FB5"/>
    <w:rsid w:val="00F37E84"/>
    <w:rsid w:val="00F401E6"/>
    <w:rsid w:val="00F44BBC"/>
    <w:rsid w:val="00F56D41"/>
    <w:rsid w:val="00F80CB5"/>
    <w:rsid w:val="00FC529C"/>
    <w:rsid w:val="00FE3681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520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062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Jose Rodrigo Lopes Pedro</cp:lastModifiedBy>
  <cp:revision>148</cp:revision>
  <cp:lastPrinted>2024-04-04T14:14:00Z</cp:lastPrinted>
  <dcterms:created xsi:type="dcterms:W3CDTF">2024-03-07T15:10:00Z</dcterms:created>
  <dcterms:modified xsi:type="dcterms:W3CDTF">2024-06-04T18:38:00Z</dcterms:modified>
</cp:coreProperties>
</file>